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6C" w:rsidRDefault="000C6E6C" w:rsidP="00522592">
      <w:pPr>
        <w:ind w:left="-567"/>
        <w:rPr>
          <w:rFonts w:ascii="Arial" w:hAnsi="Arial" w:cs="Arial"/>
          <w:b/>
          <w:bCs/>
          <w:sz w:val="32"/>
          <w:szCs w:val="32"/>
        </w:rPr>
      </w:pP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t xml:space="preserve">   </w:t>
      </w:r>
      <w:r w:rsidRPr="007554AA">
        <w:rPr>
          <w:rFonts w:ascii="Arial" w:hAnsi="Arial" w:cs="Arial"/>
          <w:b/>
          <w:bCs/>
          <w:sz w:val="32"/>
          <w:szCs w:val="32"/>
        </w:rPr>
        <w:t>ПРЕСС-РЕЛИЗ</w:t>
      </w:r>
    </w:p>
    <w:p w:rsidR="009A0D72" w:rsidRDefault="004E6DD8" w:rsidP="004E6DD8">
      <w:pPr>
        <w:spacing w:before="100" w:beforeAutospacing="1" w:after="100" w:afterAutospacing="1" w:line="240" w:lineRule="auto"/>
        <w:jc w:val="center"/>
        <w:outlineLvl w:val="0"/>
        <w:rPr>
          <w:rFonts w:ascii="Segoe UI" w:eastAsia="Times New Roman" w:hAnsi="Segoe UI" w:cs="Segoe UI"/>
          <w:bCs/>
          <w:kern w:val="36"/>
          <w:sz w:val="32"/>
          <w:szCs w:val="32"/>
          <w:lang w:eastAsia="ru-RU"/>
        </w:rPr>
      </w:pPr>
      <w:r w:rsidRPr="004E6DD8">
        <w:rPr>
          <w:rFonts w:ascii="Segoe UI" w:eastAsia="Times New Roman" w:hAnsi="Segoe UI" w:cs="Segoe UI"/>
          <w:bCs/>
          <w:kern w:val="36"/>
          <w:sz w:val="32"/>
          <w:szCs w:val="32"/>
          <w:lang w:eastAsia="ru-RU"/>
        </w:rPr>
        <w:t>В январе-</w:t>
      </w:r>
      <w:r w:rsidR="00602727">
        <w:rPr>
          <w:rFonts w:ascii="Segoe UI" w:eastAsia="Times New Roman" w:hAnsi="Segoe UI" w:cs="Segoe UI"/>
          <w:bCs/>
          <w:kern w:val="36"/>
          <w:sz w:val="32"/>
          <w:szCs w:val="32"/>
          <w:lang w:eastAsia="ru-RU"/>
        </w:rPr>
        <w:t>сентябре</w:t>
      </w:r>
      <w:r w:rsidRPr="004E6DD8">
        <w:rPr>
          <w:rFonts w:ascii="Segoe UI" w:eastAsia="Times New Roman" w:hAnsi="Segoe UI" w:cs="Segoe UI"/>
          <w:bCs/>
          <w:kern w:val="36"/>
          <w:sz w:val="32"/>
          <w:szCs w:val="32"/>
          <w:lang w:eastAsia="ru-RU"/>
        </w:rPr>
        <w:t xml:space="preserve"> 2017 года комисс</w:t>
      </w:r>
      <w:r w:rsidR="009A0D72">
        <w:rPr>
          <w:rFonts w:ascii="Segoe UI" w:eastAsia="Times New Roman" w:hAnsi="Segoe UI" w:cs="Segoe UI"/>
          <w:bCs/>
          <w:kern w:val="36"/>
          <w:sz w:val="32"/>
          <w:szCs w:val="32"/>
          <w:lang w:eastAsia="ru-RU"/>
        </w:rPr>
        <w:t xml:space="preserve">ией по рассмотрению споров о результатах определения кадастровой стоимости принято около </w:t>
      </w:r>
      <w:r w:rsidR="00884AF5" w:rsidRPr="00C369F7">
        <w:rPr>
          <w:rFonts w:ascii="Segoe UI" w:eastAsia="Times New Roman" w:hAnsi="Segoe UI" w:cs="Segoe UI"/>
          <w:bCs/>
          <w:color w:val="000000" w:themeColor="text1"/>
          <w:kern w:val="36"/>
          <w:sz w:val="32"/>
          <w:szCs w:val="32"/>
          <w:lang w:eastAsia="ru-RU"/>
        </w:rPr>
        <w:t>59</w:t>
      </w:r>
      <w:r w:rsidR="00B96D17" w:rsidRPr="00B96D17">
        <w:rPr>
          <w:rFonts w:ascii="Segoe UI" w:eastAsia="Times New Roman" w:hAnsi="Segoe UI" w:cs="Segoe UI"/>
          <w:bCs/>
          <w:kern w:val="36"/>
          <w:sz w:val="32"/>
          <w:szCs w:val="32"/>
          <w:lang w:eastAsia="ru-RU"/>
        </w:rPr>
        <w:t>%</w:t>
      </w:r>
      <w:r w:rsidR="009A0D72">
        <w:rPr>
          <w:rFonts w:ascii="Segoe UI" w:eastAsia="Times New Roman" w:hAnsi="Segoe UI" w:cs="Segoe UI"/>
          <w:bCs/>
          <w:kern w:val="36"/>
          <w:sz w:val="32"/>
          <w:szCs w:val="32"/>
          <w:lang w:eastAsia="ru-RU"/>
        </w:rPr>
        <w:t xml:space="preserve"> положительных решений</w:t>
      </w:r>
    </w:p>
    <w:p w:rsidR="004E6DD8" w:rsidRPr="00C369F7" w:rsidRDefault="00602727" w:rsidP="004E6DD8">
      <w:pPr>
        <w:spacing w:before="100" w:beforeAutospacing="1" w:after="100" w:afterAutospacing="1" w:line="240" w:lineRule="auto"/>
        <w:jc w:val="both"/>
        <w:rPr>
          <w:rFonts w:ascii="Segoe UI" w:eastAsia="Times New Roman" w:hAnsi="Segoe UI" w:cs="Segoe UI"/>
          <w:lang w:eastAsia="ru-RU"/>
        </w:rPr>
      </w:pPr>
      <w:r w:rsidRPr="00C369F7">
        <w:rPr>
          <w:rFonts w:ascii="Segoe UI" w:eastAsia="Times New Roman" w:hAnsi="Segoe UI" w:cs="Segoe UI"/>
          <w:b/>
          <w:lang w:eastAsia="ru-RU"/>
        </w:rPr>
        <w:t>21 ноября 2017 года</w:t>
      </w:r>
      <w:r w:rsidRPr="00C369F7">
        <w:rPr>
          <w:rFonts w:ascii="Segoe UI" w:eastAsia="Times New Roman" w:hAnsi="Segoe UI" w:cs="Segoe UI"/>
          <w:lang w:eastAsia="ru-RU"/>
        </w:rPr>
        <w:t xml:space="preserve"> - </w:t>
      </w:r>
      <w:r w:rsidR="004E6DD8" w:rsidRPr="00C369F7">
        <w:rPr>
          <w:rFonts w:ascii="Segoe UI" w:eastAsia="Times New Roman" w:hAnsi="Segoe UI" w:cs="Segoe UI"/>
          <w:lang w:eastAsia="ru-RU"/>
        </w:rPr>
        <w:t>Количество заявлений о пересмотре результатов определения кадастровой стоимости, рассмотренных комисси</w:t>
      </w:r>
      <w:r w:rsidR="009A0D72" w:rsidRPr="00C369F7">
        <w:rPr>
          <w:rFonts w:ascii="Segoe UI" w:eastAsia="Times New Roman" w:hAnsi="Segoe UI" w:cs="Segoe UI"/>
          <w:lang w:eastAsia="ru-RU"/>
        </w:rPr>
        <w:t>ей</w:t>
      </w:r>
      <w:r w:rsidR="004E6DD8" w:rsidRPr="00C369F7">
        <w:rPr>
          <w:rFonts w:ascii="Segoe UI" w:eastAsia="Times New Roman" w:hAnsi="Segoe UI" w:cs="Segoe UI"/>
          <w:lang w:eastAsia="ru-RU"/>
        </w:rPr>
        <w:t>, созданн</w:t>
      </w:r>
      <w:r w:rsidR="00B466D7" w:rsidRPr="00C369F7">
        <w:rPr>
          <w:rFonts w:ascii="Segoe UI" w:eastAsia="Times New Roman" w:hAnsi="Segoe UI" w:cs="Segoe UI"/>
          <w:lang w:eastAsia="ru-RU"/>
        </w:rPr>
        <w:t>ой</w:t>
      </w:r>
      <w:r w:rsidR="004E6DD8" w:rsidRPr="00C369F7">
        <w:rPr>
          <w:rFonts w:ascii="Segoe UI" w:eastAsia="Times New Roman" w:hAnsi="Segoe UI" w:cs="Segoe UI"/>
          <w:lang w:eastAsia="ru-RU"/>
        </w:rPr>
        <w:t xml:space="preserve"> при </w:t>
      </w:r>
      <w:r w:rsidR="009A0D72" w:rsidRPr="00C369F7">
        <w:rPr>
          <w:rFonts w:ascii="Segoe UI" w:eastAsia="Times New Roman" w:hAnsi="Segoe UI" w:cs="Segoe UI"/>
          <w:lang w:eastAsia="ru-RU"/>
        </w:rPr>
        <w:t>Управлении Росреестра по Тверской области</w:t>
      </w:r>
      <w:r w:rsidR="004E6DD8" w:rsidRPr="00C369F7">
        <w:rPr>
          <w:rFonts w:ascii="Segoe UI" w:eastAsia="Times New Roman" w:hAnsi="Segoe UI" w:cs="Segoe UI"/>
          <w:lang w:eastAsia="ru-RU"/>
        </w:rPr>
        <w:t>, в январе-</w:t>
      </w:r>
      <w:r w:rsidRPr="00C369F7">
        <w:rPr>
          <w:rFonts w:ascii="Segoe UI" w:eastAsia="Times New Roman" w:hAnsi="Segoe UI" w:cs="Segoe UI"/>
          <w:lang w:eastAsia="ru-RU"/>
        </w:rPr>
        <w:t>сентябре</w:t>
      </w:r>
      <w:r w:rsidR="004E6DD8" w:rsidRPr="00C369F7">
        <w:rPr>
          <w:rFonts w:ascii="Segoe UI" w:eastAsia="Times New Roman" w:hAnsi="Segoe UI" w:cs="Segoe UI"/>
          <w:lang w:eastAsia="ru-RU"/>
        </w:rPr>
        <w:t xml:space="preserve"> 2017 года выросло </w:t>
      </w:r>
      <w:r w:rsidR="00884AF5" w:rsidRPr="00C369F7">
        <w:rPr>
          <w:rFonts w:ascii="Segoe UI" w:eastAsia="Times New Roman" w:hAnsi="Segoe UI" w:cs="Segoe UI"/>
          <w:lang w:eastAsia="ru-RU"/>
        </w:rPr>
        <w:t xml:space="preserve">почти </w:t>
      </w:r>
      <w:r w:rsidR="004E6DD8" w:rsidRPr="00C369F7">
        <w:rPr>
          <w:rFonts w:ascii="Segoe UI" w:eastAsia="Times New Roman" w:hAnsi="Segoe UI" w:cs="Segoe UI"/>
          <w:lang w:eastAsia="ru-RU"/>
        </w:rPr>
        <w:t xml:space="preserve">на </w:t>
      </w:r>
      <w:r w:rsidR="00884AF5" w:rsidRPr="00C369F7">
        <w:rPr>
          <w:rFonts w:ascii="Segoe UI" w:eastAsia="Times New Roman" w:hAnsi="Segoe UI" w:cs="Segoe UI"/>
          <w:lang w:eastAsia="ru-RU"/>
        </w:rPr>
        <w:t>10</w:t>
      </w:r>
      <w:r w:rsidR="00B96D17" w:rsidRPr="00C369F7">
        <w:rPr>
          <w:rFonts w:ascii="Segoe UI" w:eastAsia="Times New Roman" w:hAnsi="Segoe UI" w:cs="Segoe UI"/>
          <w:lang w:eastAsia="ru-RU"/>
        </w:rPr>
        <w:t>%</w:t>
      </w:r>
      <w:r w:rsidR="004E6DD8" w:rsidRPr="00C369F7">
        <w:rPr>
          <w:rFonts w:ascii="Segoe UI" w:eastAsia="Times New Roman" w:hAnsi="Segoe UI" w:cs="Segoe UI"/>
          <w:lang w:eastAsia="ru-RU"/>
        </w:rPr>
        <w:t xml:space="preserve"> по сравнению с аналогичным периодом 2016 года.</w:t>
      </w:r>
    </w:p>
    <w:p w:rsidR="00301E27" w:rsidRPr="00C369F7" w:rsidRDefault="00830203" w:rsidP="00301E27">
      <w:pPr>
        <w:pStyle w:val="ae"/>
        <w:jc w:val="both"/>
        <w:rPr>
          <w:rFonts w:ascii="Segoe UI" w:hAnsi="Segoe UI" w:cs="Segoe UI"/>
        </w:rPr>
      </w:pPr>
      <w:r w:rsidRPr="00C369F7">
        <w:rPr>
          <w:rFonts w:ascii="Segoe UI" w:hAnsi="Segoe UI" w:cs="Segoe UI"/>
          <w:lang w:eastAsia="ru-RU"/>
        </w:rPr>
        <w:t xml:space="preserve">Всего </w:t>
      </w:r>
      <w:r w:rsidR="00301E27" w:rsidRPr="00C369F7">
        <w:rPr>
          <w:rFonts w:ascii="Segoe UI" w:hAnsi="Segoe UI" w:cs="Segoe UI"/>
          <w:lang w:eastAsia="ru-RU"/>
        </w:rPr>
        <w:t xml:space="preserve">за 9 месяцев </w:t>
      </w:r>
      <w:r w:rsidRPr="00C369F7">
        <w:rPr>
          <w:rFonts w:ascii="Segoe UI" w:hAnsi="Segoe UI" w:cs="Segoe UI"/>
          <w:lang w:eastAsia="ru-RU"/>
        </w:rPr>
        <w:t xml:space="preserve">2017 года комиссией рассмотрено </w:t>
      </w:r>
      <w:r w:rsidR="00301E27" w:rsidRPr="00C369F7">
        <w:rPr>
          <w:rFonts w:ascii="Segoe UI" w:hAnsi="Segoe UI" w:cs="Segoe UI"/>
          <w:lang w:eastAsia="ru-RU"/>
        </w:rPr>
        <w:t>371</w:t>
      </w:r>
      <w:r w:rsidRPr="00C369F7">
        <w:rPr>
          <w:rFonts w:ascii="Segoe UI" w:hAnsi="Segoe UI" w:cs="Segoe UI"/>
          <w:lang w:eastAsia="ru-RU"/>
        </w:rPr>
        <w:t xml:space="preserve"> заявлени</w:t>
      </w:r>
      <w:r w:rsidR="00301E27" w:rsidRPr="00C369F7">
        <w:rPr>
          <w:rFonts w:ascii="Segoe UI" w:hAnsi="Segoe UI" w:cs="Segoe UI"/>
          <w:lang w:eastAsia="ru-RU"/>
        </w:rPr>
        <w:t>е</w:t>
      </w:r>
      <w:r w:rsidRPr="00C369F7">
        <w:rPr>
          <w:rFonts w:ascii="Segoe UI" w:hAnsi="Segoe UI" w:cs="Segoe UI"/>
          <w:lang w:eastAsia="ru-RU"/>
        </w:rPr>
        <w:t xml:space="preserve"> в отношении 1</w:t>
      </w:r>
      <w:r w:rsidR="00301E27" w:rsidRPr="00C369F7">
        <w:rPr>
          <w:rFonts w:ascii="Segoe UI" w:hAnsi="Segoe UI" w:cs="Segoe UI"/>
          <w:lang w:eastAsia="ru-RU"/>
        </w:rPr>
        <w:t>453</w:t>
      </w:r>
      <w:r w:rsidRPr="00C369F7">
        <w:rPr>
          <w:rFonts w:ascii="Segoe UI" w:hAnsi="Segoe UI" w:cs="Segoe UI"/>
          <w:lang w:eastAsia="ru-RU"/>
        </w:rPr>
        <w:t xml:space="preserve"> объектов</w:t>
      </w:r>
      <w:r w:rsidR="00301E27" w:rsidRPr="00C369F7">
        <w:rPr>
          <w:rFonts w:ascii="Segoe UI" w:hAnsi="Segoe UI" w:cs="Segoe UI"/>
          <w:lang w:eastAsia="ru-RU"/>
        </w:rPr>
        <w:t xml:space="preserve"> </w:t>
      </w:r>
      <w:r w:rsidR="00301E27" w:rsidRPr="00C369F7">
        <w:rPr>
          <w:rFonts w:ascii="Segoe UI" w:eastAsia="Times New Roman" w:hAnsi="Segoe UI" w:cs="Segoe UI"/>
          <w:lang w:eastAsia="ru-RU"/>
        </w:rPr>
        <w:t>(в основном земельные участки –</w:t>
      </w:r>
      <w:r w:rsidR="001427CE" w:rsidRPr="00C369F7">
        <w:rPr>
          <w:rFonts w:ascii="Segoe UI" w:eastAsia="Times New Roman" w:hAnsi="Segoe UI" w:cs="Segoe UI"/>
          <w:lang w:eastAsia="ru-RU"/>
        </w:rPr>
        <w:t xml:space="preserve"> </w:t>
      </w:r>
      <w:r w:rsidR="00301E27" w:rsidRPr="00C369F7">
        <w:rPr>
          <w:rFonts w:ascii="Segoe UI" w:eastAsia="Times New Roman" w:hAnsi="Segoe UI" w:cs="Segoe UI"/>
          <w:lang w:eastAsia="ru-RU"/>
        </w:rPr>
        <w:t>9</w:t>
      </w:r>
      <w:r w:rsidR="001427CE" w:rsidRPr="00C369F7">
        <w:rPr>
          <w:rFonts w:ascii="Segoe UI" w:hAnsi="Segoe UI" w:cs="Segoe UI"/>
          <w:lang w:eastAsia="ru-RU"/>
        </w:rPr>
        <w:t>3</w:t>
      </w:r>
      <w:r w:rsidR="00301E27" w:rsidRPr="00C369F7">
        <w:rPr>
          <w:rFonts w:ascii="Segoe UI" w:eastAsia="Times New Roman" w:hAnsi="Segoe UI" w:cs="Segoe UI"/>
          <w:lang w:eastAsia="ru-RU"/>
        </w:rPr>
        <w:t>% объектов)</w:t>
      </w:r>
      <w:r w:rsidRPr="00C369F7">
        <w:rPr>
          <w:rFonts w:ascii="Segoe UI" w:hAnsi="Segoe UI" w:cs="Segoe UI"/>
          <w:lang w:eastAsia="ru-RU"/>
        </w:rPr>
        <w:t xml:space="preserve">. </w:t>
      </w:r>
      <w:r w:rsidR="00301E27" w:rsidRPr="00C369F7">
        <w:rPr>
          <w:rFonts w:ascii="Segoe UI" w:hAnsi="Segoe UI" w:cs="Segoe UI"/>
        </w:rPr>
        <w:t>При этом юридическими лицами подано 187 заявлений, что на</w:t>
      </w:r>
      <w:r w:rsidR="001427CE" w:rsidRPr="00C369F7">
        <w:rPr>
          <w:rFonts w:ascii="Segoe UI" w:hAnsi="Segoe UI" w:cs="Segoe UI"/>
        </w:rPr>
        <w:t xml:space="preserve"> 20</w:t>
      </w:r>
      <w:r w:rsidR="00301E27" w:rsidRPr="00C369F7">
        <w:rPr>
          <w:rFonts w:ascii="Segoe UI" w:hAnsi="Segoe UI" w:cs="Segoe UI"/>
        </w:rPr>
        <w:t xml:space="preserve">% меньше по сравнению с аналогичным периодом 2016 года. </w:t>
      </w:r>
      <w:r w:rsidR="001427CE" w:rsidRPr="00C369F7">
        <w:rPr>
          <w:rFonts w:ascii="Segoe UI" w:hAnsi="Segoe UI" w:cs="Segoe UI"/>
        </w:rPr>
        <w:t>Вместе с тем, почти в</w:t>
      </w:r>
      <w:r w:rsidR="00301E27" w:rsidRPr="00C369F7">
        <w:rPr>
          <w:rFonts w:ascii="Segoe UI" w:hAnsi="Segoe UI" w:cs="Segoe UI"/>
        </w:rPr>
        <w:t xml:space="preserve"> </w:t>
      </w:r>
      <w:r w:rsidR="001427CE" w:rsidRPr="00C369F7">
        <w:rPr>
          <w:rFonts w:ascii="Segoe UI" w:hAnsi="Segoe UI" w:cs="Segoe UI"/>
        </w:rPr>
        <w:t>2</w:t>
      </w:r>
      <w:r w:rsidR="00301E27" w:rsidRPr="00C369F7">
        <w:rPr>
          <w:rFonts w:ascii="Segoe UI" w:hAnsi="Segoe UI" w:cs="Segoe UI"/>
        </w:rPr>
        <w:t xml:space="preserve"> раз</w:t>
      </w:r>
      <w:r w:rsidR="001427CE" w:rsidRPr="00C369F7">
        <w:rPr>
          <w:rFonts w:ascii="Segoe UI" w:hAnsi="Segoe UI" w:cs="Segoe UI"/>
        </w:rPr>
        <w:t>а</w:t>
      </w:r>
      <w:r w:rsidR="00301E27" w:rsidRPr="00C369F7">
        <w:rPr>
          <w:rFonts w:ascii="Segoe UI" w:hAnsi="Segoe UI" w:cs="Segoe UI"/>
        </w:rPr>
        <w:t xml:space="preserve"> выросло число заявлений о пересмотре кадастровой стоимости, поступивших в комиссию от физических лиц (</w:t>
      </w:r>
      <w:r w:rsidR="001427CE" w:rsidRPr="00C369F7">
        <w:rPr>
          <w:rFonts w:ascii="Segoe UI" w:hAnsi="Segoe UI" w:cs="Segoe UI"/>
        </w:rPr>
        <w:t>с 101 заявления в 2016 году до 195 – в 2017-м</w:t>
      </w:r>
      <w:r w:rsidR="00301E27" w:rsidRPr="00C369F7">
        <w:rPr>
          <w:rFonts w:ascii="Segoe UI" w:hAnsi="Segoe UI" w:cs="Segoe UI"/>
        </w:rPr>
        <w:t xml:space="preserve">). </w:t>
      </w:r>
      <w:r w:rsidR="001427CE" w:rsidRPr="00C369F7">
        <w:rPr>
          <w:rFonts w:ascii="Segoe UI" w:hAnsi="Segoe UI" w:cs="Segoe UI"/>
        </w:rPr>
        <w:t>Уровень активности</w:t>
      </w:r>
      <w:r w:rsidR="00301E27" w:rsidRPr="00C369F7">
        <w:rPr>
          <w:rFonts w:ascii="Segoe UI" w:hAnsi="Segoe UI" w:cs="Segoe UI"/>
        </w:rPr>
        <w:t xml:space="preserve"> орган</w:t>
      </w:r>
      <w:r w:rsidR="001427CE" w:rsidRPr="00C369F7">
        <w:rPr>
          <w:rFonts w:ascii="Segoe UI" w:hAnsi="Segoe UI" w:cs="Segoe UI"/>
        </w:rPr>
        <w:t>ов</w:t>
      </w:r>
      <w:r w:rsidR="00301E27" w:rsidRPr="00C369F7">
        <w:rPr>
          <w:rFonts w:ascii="Segoe UI" w:hAnsi="Segoe UI" w:cs="Segoe UI"/>
        </w:rPr>
        <w:t xml:space="preserve"> </w:t>
      </w:r>
      <w:r w:rsidR="001427CE" w:rsidRPr="00C369F7">
        <w:rPr>
          <w:rFonts w:ascii="Segoe UI" w:hAnsi="Segoe UI" w:cs="Segoe UI"/>
        </w:rPr>
        <w:t>местного самоуправления остался прежним – 4 заявления за 9 месяцев 2017 года.</w:t>
      </w:r>
    </w:p>
    <w:p w:rsidR="001427CE" w:rsidRPr="00C369F7" w:rsidRDefault="001427CE" w:rsidP="00301E27">
      <w:pPr>
        <w:pStyle w:val="ae"/>
        <w:jc w:val="both"/>
        <w:rPr>
          <w:rFonts w:ascii="Segoe UI" w:hAnsi="Segoe UI" w:cs="Segoe UI"/>
        </w:rPr>
      </w:pPr>
    </w:p>
    <w:p w:rsidR="00830203" w:rsidRPr="00C369F7" w:rsidRDefault="00830203" w:rsidP="00830203">
      <w:pPr>
        <w:pStyle w:val="11"/>
        <w:jc w:val="both"/>
        <w:rPr>
          <w:rFonts w:ascii="Segoe UI" w:hAnsi="Segoe UI" w:cs="Segoe UI"/>
        </w:rPr>
      </w:pPr>
      <w:r w:rsidRPr="00C369F7">
        <w:rPr>
          <w:rFonts w:ascii="Segoe UI" w:hAnsi="Segoe UI" w:cs="Segoe UI"/>
          <w:lang w:eastAsia="ru-RU"/>
        </w:rPr>
        <w:t>Решение в пользу заявител</w:t>
      </w:r>
      <w:r w:rsidR="00E2598F" w:rsidRPr="00C369F7">
        <w:rPr>
          <w:rFonts w:ascii="Segoe UI" w:hAnsi="Segoe UI" w:cs="Segoe UI"/>
          <w:lang w:eastAsia="ru-RU"/>
        </w:rPr>
        <w:t>я</w:t>
      </w:r>
      <w:r w:rsidRPr="00C369F7">
        <w:rPr>
          <w:rFonts w:ascii="Segoe UI" w:hAnsi="Segoe UI" w:cs="Segoe UI"/>
          <w:lang w:eastAsia="ru-RU"/>
        </w:rPr>
        <w:t xml:space="preserve"> принято в отношении </w:t>
      </w:r>
      <w:r w:rsidR="00301E27" w:rsidRPr="00C369F7">
        <w:rPr>
          <w:rFonts w:ascii="Segoe UI" w:hAnsi="Segoe UI" w:cs="Segoe UI"/>
          <w:lang w:eastAsia="ru-RU"/>
        </w:rPr>
        <w:t>228</w:t>
      </w:r>
      <w:r w:rsidRPr="00C369F7">
        <w:rPr>
          <w:rFonts w:ascii="Segoe UI" w:hAnsi="Segoe UI" w:cs="Segoe UI"/>
          <w:lang w:eastAsia="ru-RU"/>
        </w:rPr>
        <w:t xml:space="preserve"> заявлений</w:t>
      </w:r>
      <w:r w:rsidRPr="00C369F7">
        <w:rPr>
          <w:rFonts w:ascii="Segoe UI" w:hAnsi="Segoe UI" w:cs="Segoe UI"/>
        </w:rPr>
        <w:t xml:space="preserve">. Суммарная величина кадастровой стоимости объектов недвижимости после оспаривания в комиссии снизилась на 28 % </w:t>
      </w:r>
      <w:r w:rsidR="00B466D7" w:rsidRPr="00C369F7">
        <w:rPr>
          <w:rFonts w:ascii="Segoe UI" w:hAnsi="Segoe UI" w:cs="Segoe UI"/>
        </w:rPr>
        <w:t>(</w:t>
      </w:r>
      <w:r w:rsidR="00301E27" w:rsidRPr="00C369F7">
        <w:rPr>
          <w:rFonts w:ascii="Segoe UI" w:hAnsi="Segoe UI" w:cs="Segoe UI"/>
        </w:rPr>
        <w:t xml:space="preserve">примерно </w:t>
      </w:r>
      <w:r w:rsidRPr="00C369F7">
        <w:rPr>
          <w:rFonts w:ascii="Segoe UI" w:hAnsi="Segoe UI" w:cs="Segoe UI"/>
        </w:rPr>
        <w:t xml:space="preserve">на </w:t>
      </w:r>
      <w:r w:rsidR="00301E27" w:rsidRPr="00C369F7">
        <w:rPr>
          <w:rFonts w:ascii="Segoe UI" w:hAnsi="Segoe UI" w:cs="Segoe UI"/>
        </w:rPr>
        <w:t>3,9</w:t>
      </w:r>
      <w:r w:rsidRPr="00C369F7">
        <w:rPr>
          <w:rFonts w:ascii="Segoe UI" w:hAnsi="Segoe UI" w:cs="Segoe UI"/>
        </w:rPr>
        <w:t xml:space="preserve"> млрд. рублей).</w:t>
      </w:r>
    </w:p>
    <w:p w:rsidR="00E2598F" w:rsidRPr="00C369F7" w:rsidRDefault="00C13374" w:rsidP="004E6DD8">
      <w:pPr>
        <w:spacing w:before="100" w:beforeAutospacing="1" w:after="100" w:afterAutospacing="1" w:line="240" w:lineRule="auto"/>
        <w:jc w:val="both"/>
        <w:rPr>
          <w:rFonts w:ascii="Segoe UI" w:eastAsia="Times New Roman" w:hAnsi="Segoe UI" w:cs="Segoe UI"/>
          <w:lang w:eastAsia="ru-RU"/>
        </w:rPr>
      </w:pPr>
      <w:r>
        <w:rPr>
          <w:rFonts w:ascii="Segoe UI" w:eastAsia="Times New Roman" w:hAnsi="Segoe UI" w:cs="Segoe UI"/>
          <w:lang w:eastAsia="ru-RU"/>
        </w:rPr>
        <w:t xml:space="preserve">Ввиду увеличения числа </w:t>
      </w:r>
      <w:r w:rsidR="00E2598F" w:rsidRPr="00C369F7">
        <w:rPr>
          <w:rFonts w:ascii="Segoe UI" w:eastAsia="Times New Roman" w:hAnsi="Segoe UI" w:cs="Segoe UI"/>
          <w:lang w:eastAsia="ru-RU"/>
        </w:rPr>
        <w:t>вопрос</w:t>
      </w:r>
      <w:r>
        <w:rPr>
          <w:rFonts w:ascii="Segoe UI" w:eastAsia="Times New Roman" w:hAnsi="Segoe UI" w:cs="Segoe UI"/>
          <w:lang w:eastAsia="ru-RU"/>
        </w:rPr>
        <w:t>ов</w:t>
      </w:r>
      <w:r w:rsidR="00E2598F" w:rsidRPr="00C369F7">
        <w:rPr>
          <w:rFonts w:ascii="Segoe UI" w:eastAsia="Times New Roman" w:hAnsi="Segoe UI" w:cs="Segoe UI"/>
          <w:lang w:eastAsia="ru-RU"/>
        </w:rPr>
        <w:t>, поступающи</w:t>
      </w:r>
      <w:r>
        <w:rPr>
          <w:rFonts w:ascii="Segoe UI" w:eastAsia="Times New Roman" w:hAnsi="Segoe UI" w:cs="Segoe UI"/>
          <w:lang w:eastAsia="ru-RU"/>
        </w:rPr>
        <w:t>х</w:t>
      </w:r>
      <w:r w:rsidR="00E2598F" w:rsidRPr="00C369F7">
        <w:rPr>
          <w:rFonts w:ascii="Segoe UI" w:eastAsia="Times New Roman" w:hAnsi="Segoe UI" w:cs="Segoe UI"/>
          <w:lang w:eastAsia="ru-RU"/>
        </w:rPr>
        <w:t xml:space="preserve"> от граждан и связанны</w:t>
      </w:r>
      <w:r>
        <w:rPr>
          <w:rFonts w:ascii="Segoe UI" w:eastAsia="Times New Roman" w:hAnsi="Segoe UI" w:cs="Segoe UI"/>
          <w:lang w:eastAsia="ru-RU"/>
        </w:rPr>
        <w:t>х</w:t>
      </w:r>
      <w:r w:rsidR="00E2598F" w:rsidRPr="00C369F7">
        <w:rPr>
          <w:rFonts w:ascii="Segoe UI" w:eastAsia="Times New Roman" w:hAnsi="Segoe UI" w:cs="Segoe UI"/>
          <w:lang w:eastAsia="ru-RU"/>
        </w:rPr>
        <w:t xml:space="preserve"> с порядком определения кадастровой стоимости объектов недвижимости, </w:t>
      </w:r>
      <w:r w:rsidR="0023593C" w:rsidRPr="00C369F7">
        <w:rPr>
          <w:rFonts w:ascii="Segoe UI" w:eastAsia="Times New Roman" w:hAnsi="Segoe UI" w:cs="Segoe UI"/>
          <w:lang w:eastAsia="ru-RU"/>
        </w:rPr>
        <w:t xml:space="preserve">Управление Росреестра по Тверской области </w:t>
      </w:r>
      <w:r w:rsidR="00E2598F" w:rsidRPr="00C369F7">
        <w:rPr>
          <w:rFonts w:ascii="Segoe UI" w:eastAsia="Times New Roman" w:hAnsi="Segoe UI" w:cs="Segoe UI"/>
          <w:lang w:eastAsia="ru-RU"/>
        </w:rPr>
        <w:t>в очередной раз акцентирует внимание заявителей на том</w:t>
      </w:r>
      <w:r w:rsidR="0023593C" w:rsidRPr="00C369F7">
        <w:rPr>
          <w:rFonts w:ascii="Segoe UI" w:eastAsia="Times New Roman" w:hAnsi="Segoe UI" w:cs="Segoe UI"/>
          <w:lang w:eastAsia="ru-RU"/>
        </w:rPr>
        <w:t xml:space="preserve">, что </w:t>
      </w:r>
      <w:r w:rsidR="004E6DD8" w:rsidRPr="00C369F7">
        <w:rPr>
          <w:rFonts w:ascii="Segoe UI" w:eastAsia="Times New Roman" w:hAnsi="Segoe UI" w:cs="Segoe UI"/>
          <w:u w:val="single"/>
          <w:lang w:eastAsia="ru-RU"/>
        </w:rPr>
        <w:t xml:space="preserve">Росреестр не проводит </w:t>
      </w:r>
      <w:r w:rsidR="0023593C" w:rsidRPr="00C369F7">
        <w:rPr>
          <w:rFonts w:ascii="Segoe UI" w:eastAsia="Times New Roman" w:hAnsi="Segoe UI" w:cs="Segoe UI"/>
          <w:u w:val="single"/>
          <w:lang w:eastAsia="ru-RU"/>
        </w:rPr>
        <w:t xml:space="preserve">государственную </w:t>
      </w:r>
      <w:r w:rsidR="004E6DD8" w:rsidRPr="00C369F7">
        <w:rPr>
          <w:rFonts w:ascii="Segoe UI" w:eastAsia="Times New Roman" w:hAnsi="Segoe UI" w:cs="Segoe UI"/>
          <w:u w:val="single"/>
          <w:lang w:eastAsia="ru-RU"/>
        </w:rPr>
        <w:t>кадастровую оценку объектов недвижимости</w:t>
      </w:r>
      <w:r w:rsidR="0023593C" w:rsidRPr="00C369F7">
        <w:rPr>
          <w:rFonts w:ascii="Segoe UI" w:eastAsia="Times New Roman" w:hAnsi="Segoe UI" w:cs="Segoe UI"/>
          <w:u w:val="single"/>
          <w:lang w:eastAsia="ru-RU"/>
        </w:rPr>
        <w:t>.</w:t>
      </w:r>
      <w:r w:rsidR="004E6DD8" w:rsidRPr="00C369F7">
        <w:rPr>
          <w:rFonts w:ascii="Segoe UI" w:eastAsia="Times New Roman" w:hAnsi="Segoe UI" w:cs="Segoe UI"/>
          <w:lang w:eastAsia="ru-RU"/>
        </w:rPr>
        <w:t xml:space="preserve"> </w:t>
      </w:r>
    </w:p>
    <w:p w:rsidR="00233AFA" w:rsidRPr="00C369F7" w:rsidRDefault="00E2598F" w:rsidP="004E6DD8">
      <w:pPr>
        <w:spacing w:before="100" w:beforeAutospacing="1" w:after="100" w:afterAutospacing="1" w:line="240" w:lineRule="auto"/>
        <w:jc w:val="both"/>
        <w:rPr>
          <w:rFonts w:ascii="Segoe UI" w:eastAsia="Times New Roman" w:hAnsi="Segoe UI" w:cs="Segoe UI"/>
          <w:lang w:eastAsia="ru-RU"/>
        </w:rPr>
      </w:pPr>
      <w:r w:rsidRPr="00C369F7">
        <w:rPr>
          <w:rFonts w:ascii="Segoe UI" w:eastAsia="Times New Roman" w:hAnsi="Segoe UI" w:cs="Segoe UI"/>
          <w:b/>
          <w:lang w:eastAsia="ru-RU"/>
        </w:rPr>
        <w:t>Начальник отдела кадастровой оценки недвижимости Управления Росреестра по Тверской области Екатерина Лаврентьева: «</w:t>
      </w:r>
      <w:r w:rsidR="004E6DD8" w:rsidRPr="00C369F7">
        <w:rPr>
          <w:rFonts w:ascii="Segoe UI" w:eastAsia="Times New Roman" w:hAnsi="Segoe UI" w:cs="Segoe UI"/>
          <w:lang w:eastAsia="ru-RU"/>
        </w:rPr>
        <w:t xml:space="preserve">До 1 января 2017 года </w:t>
      </w:r>
      <w:r w:rsidR="0023593C" w:rsidRPr="00C369F7">
        <w:rPr>
          <w:rFonts w:ascii="Segoe UI" w:eastAsia="Times New Roman" w:hAnsi="Segoe UI" w:cs="Segoe UI"/>
          <w:lang w:eastAsia="ru-RU"/>
        </w:rPr>
        <w:t>решение о проведении государственной кадастровой оценки принимали региональные органы власти</w:t>
      </w:r>
      <w:r w:rsidRPr="00C369F7">
        <w:rPr>
          <w:rFonts w:ascii="Segoe UI" w:eastAsia="Times New Roman" w:hAnsi="Segoe UI" w:cs="Segoe UI"/>
          <w:lang w:eastAsia="ru-RU"/>
        </w:rPr>
        <w:t>, которые на конкурсной основе выбирали независимых оценщиков. Те, в свою очередь, осуществляли о</w:t>
      </w:r>
      <w:r w:rsidR="0023593C" w:rsidRPr="00C369F7">
        <w:rPr>
          <w:rFonts w:ascii="Segoe UI" w:eastAsia="Times New Roman" w:hAnsi="Segoe UI" w:cs="Segoe UI"/>
          <w:lang w:eastAsia="ru-RU"/>
        </w:rPr>
        <w:t>пределение кадастровой стоимости</w:t>
      </w:r>
      <w:r w:rsidRPr="00C369F7">
        <w:rPr>
          <w:rFonts w:ascii="Segoe UI" w:eastAsia="Times New Roman" w:hAnsi="Segoe UI" w:cs="Segoe UI"/>
          <w:lang w:eastAsia="ru-RU"/>
        </w:rPr>
        <w:t xml:space="preserve">, при этом самостоятельно выбирая подходы и методы, используемые для получения результата. </w:t>
      </w:r>
      <w:r w:rsidR="00233AFA" w:rsidRPr="00C369F7">
        <w:rPr>
          <w:rFonts w:ascii="Segoe UI" w:eastAsia="Times New Roman" w:hAnsi="Segoe UI" w:cs="Segoe UI"/>
          <w:lang w:eastAsia="ru-RU"/>
        </w:rPr>
        <w:t>После завершения оценки региональные власти утверждали ее результаты и передавали и</w:t>
      </w:r>
      <w:r w:rsidR="00C369F7">
        <w:rPr>
          <w:rFonts w:ascii="Segoe UI" w:eastAsia="Times New Roman" w:hAnsi="Segoe UI" w:cs="Segoe UI"/>
          <w:lang w:eastAsia="ru-RU"/>
        </w:rPr>
        <w:t>х в Росреестр</w:t>
      </w:r>
      <w:r w:rsidR="00233AFA" w:rsidRPr="00C369F7">
        <w:rPr>
          <w:rFonts w:ascii="Segoe UI" w:eastAsia="Times New Roman" w:hAnsi="Segoe UI" w:cs="Segoe UI"/>
          <w:lang w:eastAsia="ru-RU"/>
        </w:rPr>
        <w:t>, который отражал эти данные в государственном кадастре недвижимости».</w:t>
      </w:r>
      <w:r w:rsidR="0023593C" w:rsidRPr="00C369F7">
        <w:rPr>
          <w:rFonts w:ascii="Segoe UI" w:eastAsia="Times New Roman" w:hAnsi="Segoe UI" w:cs="Segoe UI"/>
          <w:lang w:eastAsia="ru-RU"/>
        </w:rPr>
        <w:t xml:space="preserve"> </w:t>
      </w:r>
    </w:p>
    <w:p w:rsidR="00233AFA" w:rsidRPr="00C369F7" w:rsidRDefault="004E6DD8" w:rsidP="004E6DD8">
      <w:pPr>
        <w:spacing w:before="100" w:beforeAutospacing="1" w:after="100" w:afterAutospacing="1" w:line="240" w:lineRule="auto"/>
        <w:jc w:val="both"/>
        <w:rPr>
          <w:rFonts w:ascii="Segoe UI" w:eastAsia="Times New Roman" w:hAnsi="Segoe UI" w:cs="Segoe UI"/>
          <w:lang w:eastAsia="ru-RU"/>
        </w:rPr>
      </w:pPr>
      <w:r w:rsidRPr="00C369F7">
        <w:rPr>
          <w:rFonts w:ascii="Segoe UI" w:eastAsia="Times New Roman" w:hAnsi="Segoe UI" w:cs="Segoe UI"/>
          <w:lang w:eastAsia="ru-RU"/>
        </w:rPr>
        <w:t xml:space="preserve">С 1 января 2017 года вступил в силу закон «О государственной кадастровой оценке». </w:t>
      </w:r>
      <w:r w:rsidR="00233AFA" w:rsidRPr="00C369F7">
        <w:rPr>
          <w:rFonts w:ascii="Segoe UI" w:eastAsia="Times New Roman" w:hAnsi="Segoe UI" w:cs="Segoe UI"/>
          <w:lang w:eastAsia="ru-RU"/>
        </w:rPr>
        <w:t>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 которые будут заниматься этой деятельностью на постоянной основе. Ответственность за их работу возложена на региональные органы власти.</w:t>
      </w:r>
    </w:p>
    <w:p w:rsidR="00531930" w:rsidRPr="007B2DD8" w:rsidRDefault="00233AFA" w:rsidP="000E11CB">
      <w:pPr>
        <w:spacing w:before="100" w:beforeAutospacing="1" w:after="100" w:afterAutospacing="1" w:line="240" w:lineRule="auto"/>
        <w:jc w:val="both"/>
        <w:rPr>
          <w:rFonts w:ascii="Segoe UI" w:hAnsi="Segoe UI" w:cs="Segoe UI"/>
          <w:sz w:val="18"/>
          <w:szCs w:val="18"/>
        </w:rPr>
      </w:pPr>
      <w:r w:rsidRPr="00C369F7">
        <w:rPr>
          <w:rFonts w:ascii="Segoe UI" w:eastAsia="Times New Roman" w:hAnsi="Segoe UI" w:cs="Segoe UI"/>
          <w:lang w:eastAsia="ru-RU"/>
        </w:rPr>
        <w:t xml:space="preserve">Закон предусматривает также применение на всей территории страны единой методики кадастровой оценки, основанной на принципах единообразия и обоснованности.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p w:rsidR="00531930" w:rsidRPr="007B2DD8" w:rsidRDefault="00531930" w:rsidP="00056216">
      <w:pPr>
        <w:spacing w:after="0" w:line="240" w:lineRule="auto"/>
        <w:rPr>
          <w:rFonts w:ascii="Segoe UI" w:hAnsi="Segoe UI" w:cs="Segoe UI"/>
          <w:color w:val="FF0000"/>
          <w:sz w:val="18"/>
          <w:szCs w:val="18"/>
        </w:rPr>
      </w:pPr>
    </w:p>
    <w:sectPr w:rsidR="00531930" w:rsidRPr="007B2DD8"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22592"/>
    <w:rsid w:val="00007D0F"/>
    <w:rsid w:val="00010F7B"/>
    <w:rsid w:val="00014224"/>
    <w:rsid w:val="00024330"/>
    <w:rsid w:val="00025F95"/>
    <w:rsid w:val="00027CD2"/>
    <w:rsid w:val="0003071B"/>
    <w:rsid w:val="00032BA1"/>
    <w:rsid w:val="00035B8F"/>
    <w:rsid w:val="00056216"/>
    <w:rsid w:val="00066309"/>
    <w:rsid w:val="00070B35"/>
    <w:rsid w:val="00070C05"/>
    <w:rsid w:val="00073749"/>
    <w:rsid w:val="00081DBD"/>
    <w:rsid w:val="0009799A"/>
    <w:rsid w:val="000A1CC4"/>
    <w:rsid w:val="000C4B3A"/>
    <w:rsid w:val="000C621E"/>
    <w:rsid w:val="000C6E6C"/>
    <w:rsid w:val="000D13A4"/>
    <w:rsid w:val="000D1E08"/>
    <w:rsid w:val="000D264D"/>
    <w:rsid w:val="000D5A05"/>
    <w:rsid w:val="000D7D49"/>
    <w:rsid w:val="000E11CB"/>
    <w:rsid w:val="000E1238"/>
    <w:rsid w:val="000E2ECC"/>
    <w:rsid w:val="000E6333"/>
    <w:rsid w:val="000E760E"/>
    <w:rsid w:val="000E786B"/>
    <w:rsid w:val="000F1E17"/>
    <w:rsid w:val="001007B7"/>
    <w:rsid w:val="00106E92"/>
    <w:rsid w:val="00111141"/>
    <w:rsid w:val="001167CB"/>
    <w:rsid w:val="00122DB3"/>
    <w:rsid w:val="00122E1B"/>
    <w:rsid w:val="00126221"/>
    <w:rsid w:val="0013263F"/>
    <w:rsid w:val="00132E27"/>
    <w:rsid w:val="001340D2"/>
    <w:rsid w:val="001427CE"/>
    <w:rsid w:val="00146FD8"/>
    <w:rsid w:val="00164696"/>
    <w:rsid w:val="0016572B"/>
    <w:rsid w:val="00170EB3"/>
    <w:rsid w:val="00172E33"/>
    <w:rsid w:val="00182BDE"/>
    <w:rsid w:val="00185FE8"/>
    <w:rsid w:val="00193181"/>
    <w:rsid w:val="001B204E"/>
    <w:rsid w:val="001B6991"/>
    <w:rsid w:val="001C2307"/>
    <w:rsid w:val="001C4222"/>
    <w:rsid w:val="001E10FB"/>
    <w:rsid w:val="001E523E"/>
    <w:rsid w:val="001E73C2"/>
    <w:rsid w:val="001E7B7E"/>
    <w:rsid w:val="002000AF"/>
    <w:rsid w:val="002066F5"/>
    <w:rsid w:val="002118A0"/>
    <w:rsid w:val="00227808"/>
    <w:rsid w:val="00231608"/>
    <w:rsid w:val="0023215F"/>
    <w:rsid w:val="00233AFA"/>
    <w:rsid w:val="0023593C"/>
    <w:rsid w:val="002420C2"/>
    <w:rsid w:val="00242840"/>
    <w:rsid w:val="00242B72"/>
    <w:rsid w:val="0026484D"/>
    <w:rsid w:val="00267E17"/>
    <w:rsid w:val="00275C62"/>
    <w:rsid w:val="0027714A"/>
    <w:rsid w:val="00285CF1"/>
    <w:rsid w:val="00293EF2"/>
    <w:rsid w:val="00297999"/>
    <w:rsid w:val="00297D1F"/>
    <w:rsid w:val="002A09BE"/>
    <w:rsid w:val="002A3A50"/>
    <w:rsid w:val="002A5C32"/>
    <w:rsid w:val="002B5624"/>
    <w:rsid w:val="002C173F"/>
    <w:rsid w:val="002C3C22"/>
    <w:rsid w:val="002D1A8C"/>
    <w:rsid w:val="002E4034"/>
    <w:rsid w:val="00301E27"/>
    <w:rsid w:val="00316FF8"/>
    <w:rsid w:val="0033250C"/>
    <w:rsid w:val="003356CB"/>
    <w:rsid w:val="00335BF6"/>
    <w:rsid w:val="003420F1"/>
    <w:rsid w:val="003511C0"/>
    <w:rsid w:val="00380D58"/>
    <w:rsid w:val="003837A2"/>
    <w:rsid w:val="003840D7"/>
    <w:rsid w:val="00386CC9"/>
    <w:rsid w:val="0039071D"/>
    <w:rsid w:val="00390FF2"/>
    <w:rsid w:val="00392A60"/>
    <w:rsid w:val="003940E2"/>
    <w:rsid w:val="00397530"/>
    <w:rsid w:val="003A3ADA"/>
    <w:rsid w:val="003A575D"/>
    <w:rsid w:val="003C6738"/>
    <w:rsid w:val="003C74D2"/>
    <w:rsid w:val="003D4A1C"/>
    <w:rsid w:val="003E4F7B"/>
    <w:rsid w:val="003F2515"/>
    <w:rsid w:val="003F4EDD"/>
    <w:rsid w:val="00400D09"/>
    <w:rsid w:val="0040132E"/>
    <w:rsid w:val="00416A78"/>
    <w:rsid w:val="00420D68"/>
    <w:rsid w:val="004239CC"/>
    <w:rsid w:val="00427B70"/>
    <w:rsid w:val="004314FF"/>
    <w:rsid w:val="00431DBF"/>
    <w:rsid w:val="0043333D"/>
    <w:rsid w:val="00437BD5"/>
    <w:rsid w:val="00441706"/>
    <w:rsid w:val="00445015"/>
    <w:rsid w:val="004626CC"/>
    <w:rsid w:val="00482ADC"/>
    <w:rsid w:val="00484090"/>
    <w:rsid w:val="00485147"/>
    <w:rsid w:val="00496DB7"/>
    <w:rsid w:val="004A7EEE"/>
    <w:rsid w:val="004B7804"/>
    <w:rsid w:val="004B7ED3"/>
    <w:rsid w:val="004C1A5B"/>
    <w:rsid w:val="004C4A2E"/>
    <w:rsid w:val="004C4A9F"/>
    <w:rsid w:val="004E5AC4"/>
    <w:rsid w:val="004E6DD8"/>
    <w:rsid w:val="005066AC"/>
    <w:rsid w:val="00507BCD"/>
    <w:rsid w:val="00512E4C"/>
    <w:rsid w:val="00520A05"/>
    <w:rsid w:val="00522592"/>
    <w:rsid w:val="00523E8B"/>
    <w:rsid w:val="00530C20"/>
    <w:rsid w:val="00531369"/>
    <w:rsid w:val="00531930"/>
    <w:rsid w:val="0053208C"/>
    <w:rsid w:val="00536E62"/>
    <w:rsid w:val="00561635"/>
    <w:rsid w:val="005658F7"/>
    <w:rsid w:val="0057058F"/>
    <w:rsid w:val="00571B3F"/>
    <w:rsid w:val="00573635"/>
    <w:rsid w:val="00573E5A"/>
    <w:rsid w:val="0058332D"/>
    <w:rsid w:val="005935DA"/>
    <w:rsid w:val="005953EB"/>
    <w:rsid w:val="00597C4A"/>
    <w:rsid w:val="005A15A1"/>
    <w:rsid w:val="005A335C"/>
    <w:rsid w:val="005A7F52"/>
    <w:rsid w:val="005B0950"/>
    <w:rsid w:val="005B2A8A"/>
    <w:rsid w:val="005C6A16"/>
    <w:rsid w:val="005D0301"/>
    <w:rsid w:val="005D4A37"/>
    <w:rsid w:val="005F5545"/>
    <w:rsid w:val="00602727"/>
    <w:rsid w:val="00606B1B"/>
    <w:rsid w:val="00610B33"/>
    <w:rsid w:val="00614937"/>
    <w:rsid w:val="00631989"/>
    <w:rsid w:val="00631A3C"/>
    <w:rsid w:val="006473D3"/>
    <w:rsid w:val="006531CA"/>
    <w:rsid w:val="006643BE"/>
    <w:rsid w:val="00673B9B"/>
    <w:rsid w:val="00686507"/>
    <w:rsid w:val="0069589D"/>
    <w:rsid w:val="00696CC5"/>
    <w:rsid w:val="006A63A1"/>
    <w:rsid w:val="006B00D3"/>
    <w:rsid w:val="006B1019"/>
    <w:rsid w:val="006C0B03"/>
    <w:rsid w:val="006D5432"/>
    <w:rsid w:val="006F0670"/>
    <w:rsid w:val="006F0D4A"/>
    <w:rsid w:val="006F4CE0"/>
    <w:rsid w:val="006F4FE9"/>
    <w:rsid w:val="006F708C"/>
    <w:rsid w:val="007126D7"/>
    <w:rsid w:val="00716D83"/>
    <w:rsid w:val="007211AF"/>
    <w:rsid w:val="00722731"/>
    <w:rsid w:val="00722E3F"/>
    <w:rsid w:val="007268DB"/>
    <w:rsid w:val="007401CD"/>
    <w:rsid w:val="00744C22"/>
    <w:rsid w:val="00751E8C"/>
    <w:rsid w:val="007541C9"/>
    <w:rsid w:val="007542AE"/>
    <w:rsid w:val="007554AA"/>
    <w:rsid w:val="0075695D"/>
    <w:rsid w:val="00764EFE"/>
    <w:rsid w:val="00766850"/>
    <w:rsid w:val="00787E1D"/>
    <w:rsid w:val="007967E7"/>
    <w:rsid w:val="007A1B32"/>
    <w:rsid w:val="007B2DD8"/>
    <w:rsid w:val="007D3EC4"/>
    <w:rsid w:val="007E2303"/>
    <w:rsid w:val="007E26CF"/>
    <w:rsid w:val="007E2B93"/>
    <w:rsid w:val="007F2CA0"/>
    <w:rsid w:val="00804647"/>
    <w:rsid w:val="00806A88"/>
    <w:rsid w:val="008122C7"/>
    <w:rsid w:val="00814602"/>
    <w:rsid w:val="00830203"/>
    <w:rsid w:val="0085066F"/>
    <w:rsid w:val="00852616"/>
    <w:rsid w:val="00862DD6"/>
    <w:rsid w:val="00877C29"/>
    <w:rsid w:val="00884AF5"/>
    <w:rsid w:val="008944DA"/>
    <w:rsid w:val="008A0D44"/>
    <w:rsid w:val="008A1DDE"/>
    <w:rsid w:val="008A4A05"/>
    <w:rsid w:val="008A5682"/>
    <w:rsid w:val="008B1767"/>
    <w:rsid w:val="008B79F3"/>
    <w:rsid w:val="008C1DE8"/>
    <w:rsid w:val="008C3DEC"/>
    <w:rsid w:val="008C6257"/>
    <w:rsid w:val="008D3C7B"/>
    <w:rsid w:val="008E1FB8"/>
    <w:rsid w:val="008F159E"/>
    <w:rsid w:val="00903596"/>
    <w:rsid w:val="00905A93"/>
    <w:rsid w:val="0091102E"/>
    <w:rsid w:val="00914C8A"/>
    <w:rsid w:val="00922E0A"/>
    <w:rsid w:val="0093049A"/>
    <w:rsid w:val="00935005"/>
    <w:rsid w:val="009363AA"/>
    <w:rsid w:val="00936D1A"/>
    <w:rsid w:val="009730BE"/>
    <w:rsid w:val="0098228B"/>
    <w:rsid w:val="00994100"/>
    <w:rsid w:val="009957CE"/>
    <w:rsid w:val="009978F5"/>
    <w:rsid w:val="009A0D72"/>
    <w:rsid w:val="009A5E60"/>
    <w:rsid w:val="009B283D"/>
    <w:rsid w:val="009B3D6E"/>
    <w:rsid w:val="009B72CB"/>
    <w:rsid w:val="009C5403"/>
    <w:rsid w:val="009D0AE2"/>
    <w:rsid w:val="009D216F"/>
    <w:rsid w:val="009D2743"/>
    <w:rsid w:val="009D2B78"/>
    <w:rsid w:val="009E1302"/>
    <w:rsid w:val="009E67DF"/>
    <w:rsid w:val="009F2659"/>
    <w:rsid w:val="00A216DE"/>
    <w:rsid w:val="00A241D5"/>
    <w:rsid w:val="00A33279"/>
    <w:rsid w:val="00A41631"/>
    <w:rsid w:val="00A438EF"/>
    <w:rsid w:val="00A4650E"/>
    <w:rsid w:val="00A46D9E"/>
    <w:rsid w:val="00A5335A"/>
    <w:rsid w:val="00A53704"/>
    <w:rsid w:val="00A57CD0"/>
    <w:rsid w:val="00A67F94"/>
    <w:rsid w:val="00A7348B"/>
    <w:rsid w:val="00A7411C"/>
    <w:rsid w:val="00A75A48"/>
    <w:rsid w:val="00A83FB1"/>
    <w:rsid w:val="00AA205D"/>
    <w:rsid w:val="00AA36E2"/>
    <w:rsid w:val="00AA737C"/>
    <w:rsid w:val="00AA7CC0"/>
    <w:rsid w:val="00AC16B5"/>
    <w:rsid w:val="00AC1748"/>
    <w:rsid w:val="00AC58CB"/>
    <w:rsid w:val="00AD120F"/>
    <w:rsid w:val="00AD1FEC"/>
    <w:rsid w:val="00AD713D"/>
    <w:rsid w:val="00AE0E54"/>
    <w:rsid w:val="00AE6931"/>
    <w:rsid w:val="00AF64A6"/>
    <w:rsid w:val="00B02F0A"/>
    <w:rsid w:val="00B03AC8"/>
    <w:rsid w:val="00B03DF4"/>
    <w:rsid w:val="00B20254"/>
    <w:rsid w:val="00B26B80"/>
    <w:rsid w:val="00B30E7A"/>
    <w:rsid w:val="00B4189F"/>
    <w:rsid w:val="00B43F1D"/>
    <w:rsid w:val="00B466D7"/>
    <w:rsid w:val="00B618C4"/>
    <w:rsid w:val="00B6244C"/>
    <w:rsid w:val="00B6674E"/>
    <w:rsid w:val="00B724BD"/>
    <w:rsid w:val="00B7622A"/>
    <w:rsid w:val="00B764A5"/>
    <w:rsid w:val="00B836F1"/>
    <w:rsid w:val="00B92598"/>
    <w:rsid w:val="00B94577"/>
    <w:rsid w:val="00B945F7"/>
    <w:rsid w:val="00B9541F"/>
    <w:rsid w:val="00B96D17"/>
    <w:rsid w:val="00B96E42"/>
    <w:rsid w:val="00BA113F"/>
    <w:rsid w:val="00BA4DA0"/>
    <w:rsid w:val="00BA6916"/>
    <w:rsid w:val="00BC2A49"/>
    <w:rsid w:val="00BC3C8A"/>
    <w:rsid w:val="00BD244A"/>
    <w:rsid w:val="00BD2634"/>
    <w:rsid w:val="00BE004F"/>
    <w:rsid w:val="00BE3983"/>
    <w:rsid w:val="00BF49A2"/>
    <w:rsid w:val="00BF4C1C"/>
    <w:rsid w:val="00BF4D28"/>
    <w:rsid w:val="00BF4F96"/>
    <w:rsid w:val="00BF5F54"/>
    <w:rsid w:val="00BF715A"/>
    <w:rsid w:val="00C1189A"/>
    <w:rsid w:val="00C12202"/>
    <w:rsid w:val="00C13374"/>
    <w:rsid w:val="00C17007"/>
    <w:rsid w:val="00C24BC6"/>
    <w:rsid w:val="00C25630"/>
    <w:rsid w:val="00C27C24"/>
    <w:rsid w:val="00C362F6"/>
    <w:rsid w:val="00C369F7"/>
    <w:rsid w:val="00C37983"/>
    <w:rsid w:val="00C40D49"/>
    <w:rsid w:val="00C44683"/>
    <w:rsid w:val="00C458ED"/>
    <w:rsid w:val="00C47429"/>
    <w:rsid w:val="00C568C9"/>
    <w:rsid w:val="00C60DA6"/>
    <w:rsid w:val="00C86DD4"/>
    <w:rsid w:val="00C86E4E"/>
    <w:rsid w:val="00CA20A4"/>
    <w:rsid w:val="00CA7454"/>
    <w:rsid w:val="00CB7BEC"/>
    <w:rsid w:val="00CC03D8"/>
    <w:rsid w:val="00CE310F"/>
    <w:rsid w:val="00CE4DCD"/>
    <w:rsid w:val="00CF3E5C"/>
    <w:rsid w:val="00D048F5"/>
    <w:rsid w:val="00D108EC"/>
    <w:rsid w:val="00D10E0B"/>
    <w:rsid w:val="00D11194"/>
    <w:rsid w:val="00D11370"/>
    <w:rsid w:val="00D34113"/>
    <w:rsid w:val="00D34BBC"/>
    <w:rsid w:val="00D40D64"/>
    <w:rsid w:val="00D4398C"/>
    <w:rsid w:val="00D43D8B"/>
    <w:rsid w:val="00D468B4"/>
    <w:rsid w:val="00D46B5E"/>
    <w:rsid w:val="00D51E4A"/>
    <w:rsid w:val="00D52297"/>
    <w:rsid w:val="00D54E37"/>
    <w:rsid w:val="00D5524E"/>
    <w:rsid w:val="00D55C74"/>
    <w:rsid w:val="00D60960"/>
    <w:rsid w:val="00D65766"/>
    <w:rsid w:val="00D74ED5"/>
    <w:rsid w:val="00D767B7"/>
    <w:rsid w:val="00D96EC9"/>
    <w:rsid w:val="00D97035"/>
    <w:rsid w:val="00DA08AA"/>
    <w:rsid w:val="00DA6D3F"/>
    <w:rsid w:val="00DB2EA4"/>
    <w:rsid w:val="00DB5FF4"/>
    <w:rsid w:val="00DC0807"/>
    <w:rsid w:val="00DC3B3A"/>
    <w:rsid w:val="00DC4B81"/>
    <w:rsid w:val="00DD5E0C"/>
    <w:rsid w:val="00DE035C"/>
    <w:rsid w:val="00DE2C2E"/>
    <w:rsid w:val="00DE596C"/>
    <w:rsid w:val="00DE7196"/>
    <w:rsid w:val="00DF5787"/>
    <w:rsid w:val="00E04F19"/>
    <w:rsid w:val="00E122AB"/>
    <w:rsid w:val="00E12FDD"/>
    <w:rsid w:val="00E20B31"/>
    <w:rsid w:val="00E2598F"/>
    <w:rsid w:val="00E27986"/>
    <w:rsid w:val="00E306E8"/>
    <w:rsid w:val="00E338A0"/>
    <w:rsid w:val="00E429C2"/>
    <w:rsid w:val="00E65EFD"/>
    <w:rsid w:val="00E666AD"/>
    <w:rsid w:val="00E66722"/>
    <w:rsid w:val="00E71945"/>
    <w:rsid w:val="00E72C7D"/>
    <w:rsid w:val="00E81516"/>
    <w:rsid w:val="00E84751"/>
    <w:rsid w:val="00E86FE6"/>
    <w:rsid w:val="00E90564"/>
    <w:rsid w:val="00E93513"/>
    <w:rsid w:val="00EB0CA4"/>
    <w:rsid w:val="00EB3320"/>
    <w:rsid w:val="00EC0009"/>
    <w:rsid w:val="00EC28FB"/>
    <w:rsid w:val="00EC2A38"/>
    <w:rsid w:val="00EC7AE6"/>
    <w:rsid w:val="00EC7FED"/>
    <w:rsid w:val="00ED2317"/>
    <w:rsid w:val="00ED6F93"/>
    <w:rsid w:val="00ED7FA7"/>
    <w:rsid w:val="00F02E3E"/>
    <w:rsid w:val="00F14DC8"/>
    <w:rsid w:val="00F26687"/>
    <w:rsid w:val="00F46707"/>
    <w:rsid w:val="00F46898"/>
    <w:rsid w:val="00F52769"/>
    <w:rsid w:val="00F559CC"/>
    <w:rsid w:val="00F55F96"/>
    <w:rsid w:val="00F61860"/>
    <w:rsid w:val="00F67932"/>
    <w:rsid w:val="00F77525"/>
    <w:rsid w:val="00F8054A"/>
    <w:rsid w:val="00F815B7"/>
    <w:rsid w:val="00F84382"/>
    <w:rsid w:val="00F85D92"/>
    <w:rsid w:val="00FA493D"/>
    <w:rsid w:val="00FA5459"/>
    <w:rsid w:val="00FC2D87"/>
    <w:rsid w:val="00FC4FC0"/>
    <w:rsid w:val="00FD1DC1"/>
    <w:rsid w:val="00FD370A"/>
    <w:rsid w:val="00FD624B"/>
    <w:rsid w:val="00FE0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99"/>
    <w:qFormat/>
    <w:rsid w:val="00301E27"/>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1288">
      <w:bodyDiv w:val="1"/>
      <w:marLeft w:val="0"/>
      <w:marRight w:val="0"/>
      <w:marTop w:val="0"/>
      <w:marBottom w:val="0"/>
      <w:divBdr>
        <w:top w:val="none" w:sz="0" w:space="0" w:color="auto"/>
        <w:left w:val="none" w:sz="0" w:space="0" w:color="auto"/>
        <w:bottom w:val="none" w:sz="0" w:space="0" w:color="auto"/>
        <w:right w:val="none" w:sz="0" w:space="0" w:color="auto"/>
      </w:divBdr>
      <w:divsChild>
        <w:div w:id="713237824">
          <w:marLeft w:val="0"/>
          <w:marRight w:val="0"/>
          <w:marTop w:val="0"/>
          <w:marBottom w:val="0"/>
          <w:divBdr>
            <w:top w:val="none" w:sz="0" w:space="0" w:color="auto"/>
            <w:left w:val="none" w:sz="0" w:space="0" w:color="auto"/>
            <w:bottom w:val="none" w:sz="0" w:space="0" w:color="auto"/>
            <w:right w:val="none" w:sz="0" w:space="0" w:color="auto"/>
          </w:divBdr>
          <w:divsChild>
            <w:div w:id="2085254343">
              <w:marLeft w:val="0"/>
              <w:marRight w:val="0"/>
              <w:marTop w:val="0"/>
              <w:marBottom w:val="0"/>
              <w:divBdr>
                <w:top w:val="none" w:sz="0" w:space="0" w:color="auto"/>
                <w:left w:val="none" w:sz="0" w:space="0" w:color="auto"/>
                <w:bottom w:val="none" w:sz="0" w:space="0" w:color="auto"/>
                <w:right w:val="none" w:sz="0" w:space="0" w:color="auto"/>
              </w:divBdr>
              <w:divsChild>
                <w:div w:id="560022278">
                  <w:marLeft w:val="0"/>
                  <w:marRight w:val="0"/>
                  <w:marTop w:val="0"/>
                  <w:marBottom w:val="0"/>
                  <w:divBdr>
                    <w:top w:val="none" w:sz="0" w:space="0" w:color="auto"/>
                    <w:left w:val="none" w:sz="0" w:space="0" w:color="auto"/>
                    <w:bottom w:val="none" w:sz="0" w:space="0" w:color="auto"/>
                    <w:right w:val="none" w:sz="0" w:space="0" w:color="auto"/>
                  </w:divBdr>
                </w:div>
                <w:div w:id="1676304558">
                  <w:marLeft w:val="0"/>
                  <w:marRight w:val="0"/>
                  <w:marTop w:val="0"/>
                  <w:marBottom w:val="0"/>
                  <w:divBdr>
                    <w:top w:val="none" w:sz="0" w:space="0" w:color="auto"/>
                    <w:left w:val="none" w:sz="0" w:space="0" w:color="auto"/>
                    <w:bottom w:val="none" w:sz="0" w:space="0" w:color="auto"/>
                    <w:right w:val="none" w:sz="0" w:space="0" w:color="auto"/>
                  </w:divBdr>
                </w:div>
                <w:div w:id="408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426CD-2647-4E39-A244-CB133412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аммосова </cp:lastModifiedBy>
  <cp:revision>6</cp:revision>
  <cp:lastPrinted>2017-07-27T11:51:00Z</cp:lastPrinted>
  <dcterms:created xsi:type="dcterms:W3CDTF">2017-11-20T13:08:00Z</dcterms:created>
  <dcterms:modified xsi:type="dcterms:W3CDTF">2017-11-21T09:32:00Z</dcterms:modified>
</cp:coreProperties>
</file>