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BB2688">
        <w:rPr>
          <w:rFonts w:ascii="Times New Roman" w:hAnsi="Times New Roman" w:cs="Times New Roman"/>
        </w:rPr>
        <w:t>1</w:t>
      </w:r>
      <w:r w:rsidR="0088204B">
        <w:rPr>
          <w:rFonts w:ascii="Times New Roman" w:hAnsi="Times New Roman" w:cs="Times New Roman"/>
        </w:rPr>
        <w:t>96</w:t>
      </w:r>
      <w:r w:rsidR="00D7539F">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0B13F6" w:rsidRPr="000B13F6">
        <w:rPr>
          <w:rFonts w:ascii="Times New Roman" w:hAnsi="Times New Roman" w:cs="Times New Roman"/>
        </w:rPr>
        <w:t>2</w:t>
      </w:r>
      <w:r w:rsidR="0088204B">
        <w:rPr>
          <w:rFonts w:ascii="Times New Roman" w:hAnsi="Times New Roman" w:cs="Times New Roman"/>
        </w:rPr>
        <w:t>1</w:t>
      </w:r>
      <w:r w:rsidR="00183B56" w:rsidRPr="000B13F6">
        <w:rPr>
          <w:rFonts w:ascii="Times New Roman" w:hAnsi="Times New Roman" w:cs="Times New Roman"/>
        </w:rPr>
        <w:t>.</w:t>
      </w:r>
      <w:r w:rsidR="0088204B">
        <w:rPr>
          <w:rFonts w:ascii="Times New Roman" w:hAnsi="Times New Roman" w:cs="Times New Roman"/>
        </w:rPr>
        <w:t>12</w:t>
      </w:r>
      <w:r w:rsidR="00183B56" w:rsidRPr="000B13F6">
        <w:rPr>
          <w:rFonts w:ascii="Times New Roman" w:hAnsi="Times New Roman" w:cs="Times New Roman"/>
        </w:rPr>
        <w:t>.</w:t>
      </w:r>
      <w:r w:rsidR="00F61DCF" w:rsidRPr="000B13F6">
        <w:rPr>
          <w:rFonts w:ascii="Times New Roman" w:hAnsi="Times New Roman" w:cs="Times New Roman"/>
        </w:rPr>
        <w:t>201</w:t>
      </w:r>
      <w:r w:rsidR="00D7539F">
        <w:rPr>
          <w:rFonts w:ascii="Times New Roman" w:hAnsi="Times New Roman" w:cs="Times New Roman"/>
        </w:rPr>
        <w:t>6</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CF4239" w:rsidRPr="00CF4239">
        <w:rPr>
          <w:rFonts w:ascii="Times New Roman" w:hAnsi="Times New Roman" w:cs="Times New Roman"/>
        </w:rPr>
        <w:t xml:space="preserve"> Старицкого района Тверской области», для</w:t>
      </w:r>
      <w:proofErr w:type="gramEnd"/>
      <w:r w:rsidR="00CF4239" w:rsidRPr="00CF4239">
        <w:rPr>
          <w:rFonts w:ascii="Times New Roman" w:hAnsi="Times New Roman" w:cs="Times New Roman"/>
        </w:rPr>
        <w:t xml:space="preserve"> организации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2A1BDD">
        <w:trPr>
          <w:trHeight w:val="102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1. Артезианская скважина, назначение: нежилое, 1 –этажная, общей площадью 20,5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5-17, лит. А, кадастровый (или условный) номер: 69:32:0090401:64:9,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w:t>
            </w:r>
            <w:r w:rsidR="00241613">
              <w:rPr>
                <w:rFonts w:ascii="Times New Roman" w:hAnsi="Times New Roman" w:cs="Times New Roman"/>
                <w:sz w:val="20"/>
                <w:szCs w:val="20"/>
              </w:rPr>
              <w:t xml:space="preserve"> поселение, д. Бакланово, № б/</w:t>
            </w:r>
            <w:proofErr w:type="spellStart"/>
            <w:r w:rsidR="00241613">
              <w:rPr>
                <w:rFonts w:ascii="Times New Roman" w:hAnsi="Times New Roman" w:cs="Times New Roman"/>
                <w:sz w:val="20"/>
                <w:szCs w:val="20"/>
              </w:rPr>
              <w:t>н</w:t>
            </w:r>
            <w:proofErr w:type="spellEnd"/>
            <w:r w:rsidRPr="002A1BDD">
              <w:rPr>
                <w:rFonts w:ascii="Times New Roman" w:hAnsi="Times New Roman" w:cs="Times New Roman"/>
                <w:sz w:val="20"/>
                <w:szCs w:val="20"/>
              </w:rPr>
              <w:t xml:space="preserve"> </w:t>
            </w:r>
            <w:r w:rsidRPr="00795442">
              <w:rPr>
                <w:rFonts w:ascii="Times New Roman" w:hAnsi="Times New Roman" w:cs="Times New Roman"/>
                <w:sz w:val="20"/>
                <w:szCs w:val="20"/>
              </w:rPr>
              <w:t xml:space="preserve">(год постройки </w:t>
            </w:r>
            <w:r w:rsidR="007C4005">
              <w:rPr>
                <w:rFonts w:ascii="Times New Roman" w:hAnsi="Times New Roman" w:cs="Times New Roman"/>
                <w:sz w:val="20"/>
                <w:szCs w:val="20"/>
              </w:rPr>
              <w:t>нет сведений</w:t>
            </w:r>
            <w:r w:rsidRPr="00795442">
              <w:rPr>
                <w:rFonts w:ascii="Times New Roman" w:hAnsi="Times New Roman" w:cs="Times New Roman"/>
                <w:sz w:val="20"/>
                <w:szCs w:val="20"/>
              </w:rPr>
              <w:t xml:space="preserve">, фундамент </w:t>
            </w:r>
            <w:r w:rsidR="007C4005">
              <w:rPr>
                <w:rFonts w:ascii="Times New Roman" w:hAnsi="Times New Roman" w:cs="Times New Roman"/>
                <w:sz w:val="20"/>
                <w:szCs w:val="20"/>
              </w:rPr>
              <w:t>кирпичный</w:t>
            </w:r>
            <w:r>
              <w:rPr>
                <w:rFonts w:ascii="Times New Roman" w:hAnsi="Times New Roman" w:cs="Times New Roman"/>
                <w:sz w:val="20"/>
                <w:szCs w:val="20"/>
              </w:rPr>
              <w:t xml:space="preserve"> (</w:t>
            </w:r>
            <w:r w:rsidRPr="00F05708">
              <w:rPr>
                <w:rFonts w:ascii="Times New Roman" w:hAnsi="Times New Roman" w:cs="Times New Roman"/>
                <w:i/>
                <w:sz w:val="20"/>
                <w:szCs w:val="20"/>
              </w:rPr>
              <w:t xml:space="preserve">трещины, </w:t>
            </w:r>
            <w:r w:rsidR="007C4005">
              <w:rPr>
                <w:rFonts w:ascii="Times New Roman" w:hAnsi="Times New Roman" w:cs="Times New Roman"/>
                <w:i/>
                <w:sz w:val="20"/>
                <w:szCs w:val="20"/>
              </w:rPr>
              <w:t>сколы,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sidR="007C4005">
              <w:rPr>
                <w:rFonts w:ascii="Times New Roman" w:hAnsi="Times New Roman" w:cs="Times New Roman"/>
                <w:i/>
                <w:sz w:val="20"/>
                <w:szCs w:val="20"/>
              </w:rPr>
              <w:t>,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w:t>
            </w:r>
            <w:r w:rsidR="00570836">
              <w:rPr>
                <w:rFonts w:ascii="Times New Roman" w:hAnsi="Times New Roman" w:cs="Times New Roman"/>
                <w:sz w:val="20"/>
                <w:szCs w:val="20"/>
              </w:rPr>
              <w:t xml:space="preserve"> - </w:t>
            </w:r>
            <w:r>
              <w:rPr>
                <w:rFonts w:ascii="Times New Roman" w:hAnsi="Times New Roman" w:cs="Times New Roman"/>
                <w:sz w:val="20"/>
                <w:szCs w:val="20"/>
              </w:rPr>
              <w:t xml:space="preserve"> </w:t>
            </w:r>
            <w:r w:rsidR="007C4005">
              <w:rPr>
                <w:rFonts w:ascii="Times New Roman" w:hAnsi="Times New Roman" w:cs="Times New Roman"/>
                <w:sz w:val="20"/>
                <w:szCs w:val="20"/>
              </w:rPr>
              <w:t>чердачн</w:t>
            </w:r>
            <w:r w:rsidR="00570836">
              <w:rPr>
                <w:rFonts w:ascii="Times New Roman" w:hAnsi="Times New Roman" w:cs="Times New Roman"/>
                <w:sz w:val="20"/>
                <w:szCs w:val="20"/>
              </w:rPr>
              <w:t>о</w:t>
            </w:r>
            <w:r w:rsidR="007C4005">
              <w:rPr>
                <w:rFonts w:ascii="Times New Roman" w:hAnsi="Times New Roman" w:cs="Times New Roman"/>
                <w:sz w:val="20"/>
                <w:szCs w:val="20"/>
              </w:rPr>
              <w:t xml:space="preserve">е </w:t>
            </w:r>
            <w:r>
              <w:rPr>
                <w:rFonts w:ascii="Times New Roman" w:hAnsi="Times New Roman" w:cs="Times New Roman"/>
                <w:sz w:val="20"/>
                <w:szCs w:val="20"/>
              </w:rPr>
              <w:t>деревянн</w:t>
            </w:r>
            <w:r w:rsidR="00570836">
              <w:rPr>
                <w:rFonts w:ascii="Times New Roman" w:hAnsi="Times New Roman" w:cs="Times New Roman"/>
                <w:sz w:val="20"/>
                <w:szCs w:val="20"/>
              </w:rPr>
              <w:t>о</w:t>
            </w:r>
            <w:r>
              <w:rPr>
                <w:rFonts w:ascii="Times New Roman" w:hAnsi="Times New Roman" w:cs="Times New Roman"/>
                <w:sz w:val="20"/>
                <w:szCs w:val="20"/>
              </w:rPr>
              <w:t>е (</w:t>
            </w:r>
            <w:r w:rsidR="007C4005">
              <w:rPr>
                <w:rFonts w:ascii="Times New Roman" w:hAnsi="Times New Roman" w:cs="Times New Roman"/>
                <w:i/>
                <w:sz w:val="20"/>
                <w:szCs w:val="20"/>
              </w:rPr>
              <w:t>расслоение древесины</w:t>
            </w:r>
            <w:r>
              <w:rPr>
                <w:rFonts w:ascii="Times New Roman" w:hAnsi="Times New Roman" w:cs="Times New Roman"/>
                <w:sz w:val="20"/>
                <w:szCs w:val="20"/>
              </w:rPr>
              <w:t xml:space="preserve">), </w:t>
            </w:r>
            <w:r w:rsidR="007C4005">
              <w:rPr>
                <w:rFonts w:ascii="Times New Roman" w:hAnsi="Times New Roman" w:cs="Times New Roman"/>
                <w:sz w:val="20"/>
                <w:szCs w:val="20"/>
              </w:rPr>
              <w:t>крыша</w:t>
            </w:r>
            <w:r w:rsidRPr="00795442">
              <w:rPr>
                <w:rFonts w:ascii="Times New Roman" w:hAnsi="Times New Roman" w:cs="Times New Roman"/>
                <w:sz w:val="20"/>
                <w:szCs w:val="20"/>
              </w:rPr>
              <w:t xml:space="preserve"> </w:t>
            </w:r>
            <w:r>
              <w:rPr>
                <w:rFonts w:ascii="Times New Roman" w:hAnsi="Times New Roman" w:cs="Times New Roman"/>
                <w:sz w:val="20"/>
                <w:szCs w:val="20"/>
              </w:rPr>
              <w:t>шиферная (</w:t>
            </w:r>
            <w:r w:rsidR="007C4005">
              <w:rPr>
                <w:rFonts w:ascii="Times New Roman" w:hAnsi="Times New Roman" w:cs="Times New Roman"/>
                <w:i/>
                <w:sz w:val="20"/>
                <w:szCs w:val="20"/>
              </w:rPr>
              <w:t>сколы</w:t>
            </w:r>
            <w:r w:rsidRPr="00F05708">
              <w:rPr>
                <w:rFonts w:ascii="Times New Roman" w:hAnsi="Times New Roman" w:cs="Times New Roman"/>
                <w:i/>
                <w:sz w:val="20"/>
                <w:szCs w:val="20"/>
              </w:rPr>
              <w:t>, ослабление креплений листов</w:t>
            </w:r>
            <w:r>
              <w:rPr>
                <w:rFonts w:ascii="Times New Roman" w:hAnsi="Times New Roman" w:cs="Times New Roman"/>
                <w:sz w:val="20"/>
                <w:szCs w:val="20"/>
              </w:rPr>
              <w:t xml:space="preserve">), </w:t>
            </w:r>
            <w:r w:rsidR="007C4005">
              <w:rPr>
                <w:rFonts w:ascii="Times New Roman" w:hAnsi="Times New Roman" w:cs="Times New Roman"/>
                <w:sz w:val="20"/>
                <w:szCs w:val="20"/>
              </w:rPr>
              <w:t>проемы дверные – простые</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деревянные </w:t>
            </w:r>
            <w:r>
              <w:rPr>
                <w:rFonts w:ascii="Times New Roman" w:hAnsi="Times New Roman" w:cs="Times New Roman"/>
                <w:sz w:val="20"/>
                <w:szCs w:val="20"/>
              </w:rPr>
              <w:t>(</w:t>
            </w:r>
            <w:r w:rsidR="007C4005">
              <w:rPr>
                <w:rFonts w:ascii="Times New Roman" w:hAnsi="Times New Roman" w:cs="Times New Roman"/>
                <w:i/>
                <w:sz w:val="20"/>
                <w:szCs w:val="20"/>
              </w:rPr>
              <w:t>оседание полотен, затруднение притвора</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проемы </w:t>
            </w:r>
            <w:r>
              <w:rPr>
                <w:rFonts w:ascii="Times New Roman" w:hAnsi="Times New Roman" w:cs="Times New Roman"/>
                <w:sz w:val="20"/>
                <w:szCs w:val="20"/>
              </w:rPr>
              <w:t>ок</w:t>
            </w:r>
            <w:r w:rsidR="007C4005">
              <w:rPr>
                <w:rFonts w:ascii="Times New Roman" w:hAnsi="Times New Roman" w:cs="Times New Roman"/>
                <w:sz w:val="20"/>
                <w:szCs w:val="20"/>
              </w:rPr>
              <w:t>о</w:t>
            </w:r>
            <w:r>
              <w:rPr>
                <w:rFonts w:ascii="Times New Roman" w:hAnsi="Times New Roman" w:cs="Times New Roman"/>
                <w:sz w:val="20"/>
                <w:szCs w:val="20"/>
              </w:rPr>
              <w:t>н</w:t>
            </w:r>
            <w:r w:rsidR="007C4005">
              <w:rPr>
                <w:rFonts w:ascii="Times New Roman" w:hAnsi="Times New Roman" w:cs="Times New Roman"/>
                <w:sz w:val="20"/>
                <w:szCs w:val="20"/>
              </w:rPr>
              <w:t>ные</w:t>
            </w:r>
            <w:r>
              <w:rPr>
                <w:rFonts w:ascii="Times New Roman" w:hAnsi="Times New Roman" w:cs="Times New Roman"/>
                <w:sz w:val="20"/>
                <w:szCs w:val="20"/>
              </w:rPr>
              <w:t xml:space="preserve"> </w:t>
            </w:r>
            <w:r w:rsidR="007C4005">
              <w:rPr>
                <w:rFonts w:ascii="Times New Roman" w:hAnsi="Times New Roman" w:cs="Times New Roman"/>
                <w:sz w:val="20"/>
                <w:szCs w:val="20"/>
              </w:rPr>
              <w:t>двойные</w:t>
            </w:r>
            <w:r>
              <w:rPr>
                <w:rFonts w:ascii="Times New Roman" w:hAnsi="Times New Roman" w:cs="Times New Roman"/>
                <w:sz w:val="20"/>
                <w:szCs w:val="20"/>
              </w:rPr>
              <w:t xml:space="preserve"> глухие (</w:t>
            </w:r>
            <w:proofErr w:type="spellStart"/>
            <w:r w:rsidRPr="00F15D71">
              <w:rPr>
                <w:rFonts w:ascii="Times New Roman" w:hAnsi="Times New Roman" w:cs="Times New Roman"/>
                <w:i/>
                <w:sz w:val="20"/>
                <w:szCs w:val="20"/>
              </w:rPr>
              <w:t>рассыхание</w:t>
            </w:r>
            <w:proofErr w:type="spellEnd"/>
            <w:r w:rsidRPr="00F15D71">
              <w:rPr>
                <w:rFonts w:ascii="Times New Roman" w:hAnsi="Times New Roman" w:cs="Times New Roman"/>
                <w:i/>
                <w:sz w:val="20"/>
                <w:szCs w:val="20"/>
              </w:rPr>
              <w:t xml:space="preserve"> </w:t>
            </w:r>
            <w:r w:rsidR="007C4005">
              <w:rPr>
                <w:rFonts w:ascii="Times New Roman" w:hAnsi="Times New Roman" w:cs="Times New Roman"/>
                <w:i/>
                <w:sz w:val="20"/>
                <w:szCs w:val="20"/>
              </w:rPr>
              <w:t>коробок, расслоение древесины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w:t>
            </w:r>
            <w:proofErr w:type="gramEnd"/>
            <w:r w:rsidRPr="00795442">
              <w:rPr>
                <w:rFonts w:ascii="Times New Roman" w:hAnsi="Times New Roman" w:cs="Times New Roman"/>
                <w:sz w:val="20"/>
                <w:szCs w:val="20"/>
              </w:rPr>
              <w:t xml:space="preserve">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sidR="007C4005">
              <w:rPr>
                <w:rFonts w:ascii="Times New Roman" w:hAnsi="Times New Roman" w:cs="Times New Roman"/>
                <w:sz w:val="20"/>
                <w:szCs w:val="20"/>
              </w:rPr>
              <w:t xml:space="preserve">водопровод от скважины, </w:t>
            </w:r>
            <w:r>
              <w:rPr>
                <w:rFonts w:ascii="Times New Roman" w:hAnsi="Times New Roman" w:cs="Times New Roman"/>
                <w:sz w:val="20"/>
                <w:szCs w:val="20"/>
              </w:rPr>
              <w:t xml:space="preserve">скважина – глубина </w:t>
            </w:r>
            <w:r w:rsidR="007C4005">
              <w:rPr>
                <w:rFonts w:ascii="Times New Roman" w:hAnsi="Times New Roman" w:cs="Times New Roman"/>
                <w:sz w:val="20"/>
                <w:szCs w:val="20"/>
              </w:rPr>
              <w:t>63</w:t>
            </w:r>
            <w:r>
              <w:rPr>
                <w:rFonts w:ascii="Times New Roman" w:hAnsi="Times New Roman" w:cs="Times New Roman"/>
                <w:sz w:val="20"/>
                <w:szCs w:val="20"/>
              </w:rPr>
              <w:t>,0 м., металлическая труба диаметром 50 мм</w:t>
            </w:r>
            <w:proofErr w:type="gramStart"/>
            <w:r>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2. Артезианская скважина, назначение: нежилое, 1 –этажная, общей площадью 5,6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5-15, лит. А, кадастровый (или условный) номер: 69:32:0131101:190:11,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w:t>
            </w:r>
            <w:r w:rsidR="00241613">
              <w:rPr>
                <w:rFonts w:ascii="Times New Roman" w:hAnsi="Times New Roman" w:cs="Times New Roman"/>
                <w:sz w:val="20"/>
                <w:szCs w:val="20"/>
              </w:rPr>
              <w:t xml:space="preserve">поселение, д. </w:t>
            </w:r>
            <w:proofErr w:type="spellStart"/>
            <w:r w:rsidR="00241613">
              <w:rPr>
                <w:rFonts w:ascii="Times New Roman" w:hAnsi="Times New Roman" w:cs="Times New Roman"/>
                <w:sz w:val="20"/>
                <w:szCs w:val="20"/>
              </w:rPr>
              <w:t>Панофидино</w:t>
            </w:r>
            <w:proofErr w:type="spellEnd"/>
            <w:r w:rsidR="00241613">
              <w:rPr>
                <w:rFonts w:ascii="Times New Roman" w:hAnsi="Times New Roman" w:cs="Times New Roman"/>
                <w:sz w:val="20"/>
                <w:szCs w:val="20"/>
              </w:rPr>
              <w:t>, № б/</w:t>
            </w:r>
            <w:proofErr w:type="spellStart"/>
            <w:r w:rsidR="00241613">
              <w:rPr>
                <w:rFonts w:ascii="Times New Roman" w:hAnsi="Times New Roman" w:cs="Times New Roman"/>
                <w:sz w:val="20"/>
                <w:szCs w:val="20"/>
              </w:rPr>
              <w:t>н</w:t>
            </w:r>
            <w:proofErr w:type="spellEnd"/>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 xml:space="preserve">(год постройки </w:t>
            </w:r>
            <w:r w:rsidR="00241613">
              <w:rPr>
                <w:rFonts w:ascii="Times New Roman" w:hAnsi="Times New Roman" w:cs="Times New Roman"/>
                <w:sz w:val="20"/>
                <w:szCs w:val="20"/>
              </w:rPr>
              <w:t>1978</w:t>
            </w:r>
            <w:r w:rsidR="00241613" w:rsidRPr="00795442">
              <w:rPr>
                <w:rFonts w:ascii="Times New Roman" w:hAnsi="Times New Roman" w:cs="Times New Roman"/>
                <w:sz w:val="20"/>
                <w:szCs w:val="20"/>
              </w:rPr>
              <w:t xml:space="preserve">, фундамент </w:t>
            </w:r>
            <w:r w:rsidR="00241613">
              <w:rPr>
                <w:rFonts w:ascii="Times New Roman" w:hAnsi="Times New Roman" w:cs="Times New Roman"/>
                <w:sz w:val="20"/>
                <w:szCs w:val="20"/>
              </w:rPr>
              <w:t>кирпичные столбы (</w:t>
            </w:r>
            <w:r w:rsidR="00241613" w:rsidRPr="00F05708">
              <w:rPr>
                <w:rFonts w:ascii="Times New Roman" w:hAnsi="Times New Roman" w:cs="Times New Roman"/>
                <w:i/>
                <w:sz w:val="20"/>
                <w:szCs w:val="20"/>
              </w:rPr>
              <w:t xml:space="preserve">трещины, </w:t>
            </w:r>
            <w:r w:rsidR="00241613">
              <w:rPr>
                <w:rFonts w:ascii="Times New Roman" w:hAnsi="Times New Roman" w:cs="Times New Roman"/>
                <w:i/>
                <w:sz w:val="20"/>
                <w:szCs w:val="20"/>
              </w:rPr>
              <w:t>сколы, увлажнение цоколя</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стены кирпичные</w:t>
            </w:r>
            <w:r w:rsidR="00241613">
              <w:rPr>
                <w:rFonts w:ascii="Times New Roman" w:hAnsi="Times New Roman" w:cs="Times New Roman"/>
                <w:sz w:val="20"/>
                <w:szCs w:val="20"/>
              </w:rPr>
              <w:t xml:space="preserve">  (</w:t>
            </w:r>
            <w:r w:rsidR="00241613" w:rsidRPr="00F05708">
              <w:rPr>
                <w:rFonts w:ascii="Times New Roman" w:hAnsi="Times New Roman" w:cs="Times New Roman"/>
                <w:i/>
                <w:sz w:val="20"/>
                <w:szCs w:val="20"/>
              </w:rPr>
              <w:t xml:space="preserve">трещины, выветривание швов, </w:t>
            </w:r>
            <w:r w:rsidR="00241613">
              <w:rPr>
                <w:rFonts w:ascii="Times New Roman" w:hAnsi="Times New Roman" w:cs="Times New Roman"/>
                <w:i/>
                <w:sz w:val="20"/>
                <w:szCs w:val="20"/>
              </w:rPr>
              <w:t>сколы</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 перекрытия чердачное деревянное (</w:t>
            </w:r>
            <w:r w:rsidR="00241613">
              <w:rPr>
                <w:rFonts w:ascii="Times New Roman" w:hAnsi="Times New Roman" w:cs="Times New Roman"/>
                <w:i/>
                <w:sz w:val="20"/>
                <w:szCs w:val="20"/>
              </w:rPr>
              <w:t>расслоение древесины</w:t>
            </w:r>
            <w:r w:rsidR="00241613">
              <w:rPr>
                <w:rFonts w:ascii="Times New Roman" w:hAnsi="Times New Roman" w:cs="Times New Roman"/>
                <w:sz w:val="20"/>
                <w:szCs w:val="20"/>
              </w:rPr>
              <w:t>), крыша</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шиферная (</w:t>
            </w:r>
            <w:r w:rsidR="00241613">
              <w:rPr>
                <w:rFonts w:ascii="Times New Roman" w:hAnsi="Times New Roman" w:cs="Times New Roman"/>
                <w:i/>
                <w:sz w:val="20"/>
                <w:szCs w:val="20"/>
              </w:rPr>
              <w:t>сколы</w:t>
            </w:r>
            <w:r w:rsidR="00241613" w:rsidRPr="00F05708">
              <w:rPr>
                <w:rFonts w:ascii="Times New Roman" w:hAnsi="Times New Roman" w:cs="Times New Roman"/>
                <w:i/>
                <w:sz w:val="20"/>
                <w:szCs w:val="20"/>
              </w:rPr>
              <w:t>, ослабление креплений листов</w:t>
            </w:r>
            <w:r w:rsidR="00241613">
              <w:rPr>
                <w:rFonts w:ascii="Times New Roman" w:hAnsi="Times New Roman" w:cs="Times New Roman"/>
                <w:sz w:val="20"/>
                <w:szCs w:val="20"/>
              </w:rPr>
              <w:t>), полы бетонные (</w:t>
            </w:r>
            <w:r w:rsidR="00241613" w:rsidRPr="00241613">
              <w:rPr>
                <w:rFonts w:ascii="Times New Roman" w:hAnsi="Times New Roman" w:cs="Times New Roman"/>
                <w:i/>
                <w:sz w:val="20"/>
                <w:szCs w:val="20"/>
              </w:rPr>
              <w:t>трещины, сколы</w:t>
            </w:r>
            <w:r w:rsidR="00241613">
              <w:rPr>
                <w:rFonts w:ascii="Times New Roman" w:hAnsi="Times New Roman" w:cs="Times New Roman"/>
                <w:sz w:val="20"/>
                <w:szCs w:val="20"/>
              </w:rPr>
              <w:t>), проемы дверные  простые, деревянные (</w:t>
            </w:r>
            <w:r w:rsidR="00241613">
              <w:rPr>
                <w:rFonts w:ascii="Times New Roman" w:hAnsi="Times New Roman" w:cs="Times New Roman"/>
                <w:i/>
                <w:sz w:val="20"/>
                <w:szCs w:val="20"/>
              </w:rPr>
              <w:t>оседание полотен, затруднение притвора</w:t>
            </w:r>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электроосвещение – открытая проводка</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водопровод от скважины, скважина – глубина 53,0 м</w:t>
            </w:r>
            <w:proofErr w:type="gramEnd"/>
            <w:r w:rsidR="00241613">
              <w:rPr>
                <w:rFonts w:ascii="Times New Roman" w:hAnsi="Times New Roman" w:cs="Times New Roman"/>
                <w:sz w:val="20"/>
                <w:szCs w:val="20"/>
              </w:rPr>
              <w:t>.,  металлическая труба диаметром 50 мм</w:t>
            </w:r>
            <w:proofErr w:type="gramStart"/>
            <w:r w:rsidR="00241613">
              <w:rPr>
                <w:rFonts w:ascii="Times New Roman" w:hAnsi="Times New Roman" w:cs="Times New Roman"/>
                <w:sz w:val="20"/>
                <w:szCs w:val="20"/>
              </w:rPr>
              <w:t xml:space="preserve">., </w:t>
            </w:r>
            <w:proofErr w:type="gramEnd"/>
            <w:r w:rsidR="00241613" w:rsidRPr="00795442">
              <w:rPr>
                <w:rFonts w:ascii="Times New Roman" w:hAnsi="Times New Roman" w:cs="Times New Roman"/>
                <w:sz w:val="20"/>
                <w:szCs w:val="20"/>
              </w:rPr>
              <w:t>состояние удовлетворительное)</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3. Артезианская скважина, назначение: нежилое, 1 –этажная, общей площадью 11,9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5-16, лит. А, кадастровый (или условный) номер: 69:32:0090701:112:8,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Гостенево</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1986</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железобетонный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отклонение от вертикали</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бревенчатые (</w:t>
            </w:r>
            <w:r w:rsidR="00570836" w:rsidRPr="00570836">
              <w:rPr>
                <w:rFonts w:ascii="Times New Roman" w:hAnsi="Times New Roman" w:cs="Times New Roman"/>
                <w:i/>
                <w:sz w:val="20"/>
                <w:szCs w:val="20"/>
              </w:rPr>
              <w:t>гниль,</w:t>
            </w:r>
            <w:r w:rsidR="00570836">
              <w:rPr>
                <w:rFonts w:ascii="Times New Roman" w:hAnsi="Times New Roman" w:cs="Times New Roman"/>
                <w:sz w:val="20"/>
                <w:szCs w:val="20"/>
              </w:rPr>
              <w:t xml:space="preserve">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расслоение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металлическая (</w:t>
            </w:r>
            <w:r w:rsidR="00570836">
              <w:rPr>
                <w:rFonts w:ascii="Times New Roman" w:hAnsi="Times New Roman" w:cs="Times New Roman"/>
                <w:i/>
                <w:sz w:val="20"/>
                <w:szCs w:val="20"/>
              </w:rPr>
              <w:t>коррозия</w:t>
            </w:r>
            <w:r w:rsidR="00570836" w:rsidRPr="00F05708">
              <w:rPr>
                <w:rFonts w:ascii="Times New Roman" w:hAnsi="Times New Roman" w:cs="Times New Roman"/>
                <w:i/>
                <w:sz w:val="20"/>
                <w:szCs w:val="20"/>
              </w:rPr>
              <w:t>, ослабление креплений листов</w:t>
            </w:r>
            <w:r w:rsidR="00570836">
              <w:rPr>
                <w:rFonts w:ascii="Times New Roman" w:hAnsi="Times New Roman" w:cs="Times New Roman"/>
                <w:sz w:val="20"/>
                <w:szCs w:val="20"/>
              </w:rPr>
              <w:t>), проемы дверные  простые, деревянные обиты железом (</w:t>
            </w:r>
            <w:r w:rsidR="00570836">
              <w:rPr>
                <w:rFonts w:ascii="Times New Roman" w:hAnsi="Times New Roman" w:cs="Times New Roman"/>
                <w:i/>
                <w:sz w:val="20"/>
                <w:szCs w:val="20"/>
              </w:rPr>
              <w:t>оседание полотен, коррозия</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электроосвещение – </w:t>
            </w:r>
            <w:r w:rsidR="00570836" w:rsidRPr="00795442">
              <w:rPr>
                <w:rFonts w:ascii="Times New Roman" w:hAnsi="Times New Roman" w:cs="Times New Roman"/>
                <w:sz w:val="20"/>
                <w:szCs w:val="20"/>
              </w:rPr>
              <w:lastRenderedPageBreak/>
              <w:t>открытая проводка</w:t>
            </w:r>
            <w:r w:rsidR="00570836">
              <w:rPr>
                <w:rFonts w:ascii="Times New Roman" w:hAnsi="Times New Roman" w:cs="Times New Roman"/>
                <w:sz w:val="20"/>
                <w:szCs w:val="20"/>
              </w:rPr>
              <w:t xml:space="preserve"> (</w:t>
            </w:r>
            <w:r w:rsidR="00570836" w:rsidRPr="00570836">
              <w:rPr>
                <w:rFonts w:ascii="Times New Roman" w:hAnsi="Times New Roman" w:cs="Times New Roman"/>
                <w:i/>
                <w:sz w:val="20"/>
                <w:szCs w:val="20"/>
              </w:rPr>
              <w:t>электроэнергия отключена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58,0 м.,  металлическая труба диаметром 50</w:t>
            </w:r>
            <w:proofErr w:type="gramEnd"/>
            <w:r w:rsidR="00570836">
              <w:rPr>
                <w:rFonts w:ascii="Times New Roman" w:hAnsi="Times New Roman" w:cs="Times New Roman"/>
                <w:sz w:val="20"/>
                <w:szCs w:val="20"/>
              </w:rPr>
              <w:t xml:space="preserve"> </w:t>
            </w:r>
            <w:proofErr w:type="gramStart"/>
            <w:r w:rsidR="00570836">
              <w:rPr>
                <w:rFonts w:ascii="Times New Roman" w:hAnsi="Times New Roman" w:cs="Times New Roman"/>
                <w:sz w:val="20"/>
                <w:szCs w:val="20"/>
              </w:rPr>
              <w:t>мм</w:t>
            </w:r>
            <w:proofErr w:type="gram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4. Артезианская скважина, назначение: нежилое, 1 –</w:t>
            </w:r>
            <w:r w:rsidR="00570836">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6,2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5-14, лит. А, кадастровый (или условный) номер: 69:32:0130101:55:8,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Апухлицы</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1974</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каменный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кирпичные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выветривание швов, отклонение от вертикали, 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трещины,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шиферная (</w:t>
            </w:r>
            <w:r w:rsidR="00570836" w:rsidRPr="00F05708">
              <w:rPr>
                <w:rFonts w:ascii="Times New Roman" w:hAnsi="Times New Roman" w:cs="Times New Roman"/>
                <w:i/>
                <w:sz w:val="20"/>
                <w:szCs w:val="20"/>
              </w:rPr>
              <w:t>ослабление креплений листов</w:t>
            </w:r>
            <w:r w:rsidR="00123D3B">
              <w:rPr>
                <w:rFonts w:ascii="Times New Roman" w:hAnsi="Times New Roman" w:cs="Times New Roman"/>
                <w:i/>
                <w:sz w:val="20"/>
                <w:szCs w:val="20"/>
              </w:rPr>
              <w:t>, сколы, трещины</w:t>
            </w:r>
            <w:r w:rsidR="00570836">
              <w:rPr>
                <w:rFonts w:ascii="Times New Roman" w:hAnsi="Times New Roman" w:cs="Times New Roman"/>
                <w:sz w:val="20"/>
                <w:szCs w:val="20"/>
              </w:rPr>
              <w:t>), проемы дверные  простые, деревянные (</w:t>
            </w:r>
            <w:r w:rsidR="00570836">
              <w:rPr>
                <w:rFonts w:ascii="Times New Roman" w:hAnsi="Times New Roman" w:cs="Times New Roman"/>
                <w:i/>
                <w:sz w:val="20"/>
                <w:szCs w:val="20"/>
              </w:rPr>
              <w:t xml:space="preserve">оседание полотен, </w:t>
            </w:r>
            <w:r w:rsidR="00123D3B">
              <w:rPr>
                <w:rFonts w:ascii="Times New Roman" w:hAnsi="Times New Roman" w:cs="Times New Roman"/>
                <w:i/>
                <w:sz w:val="20"/>
                <w:szCs w:val="20"/>
              </w:rPr>
              <w:t>затруднение притвора</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электроосвещение – открытая проводка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55,0 м.,  металлическая</w:t>
            </w:r>
            <w:proofErr w:type="gramEnd"/>
            <w:r w:rsidR="00570836">
              <w:rPr>
                <w:rFonts w:ascii="Times New Roman" w:hAnsi="Times New Roman" w:cs="Times New Roman"/>
                <w:sz w:val="20"/>
                <w:szCs w:val="20"/>
              </w:rPr>
              <w:t xml:space="preserve"> труба диаметром 50 мм</w:t>
            </w:r>
            <w:proofErr w:type="gramStart"/>
            <w:r w:rsidR="00570836">
              <w:rPr>
                <w:rFonts w:ascii="Times New Roman" w:hAnsi="Times New Roman" w:cs="Times New Roman"/>
                <w:sz w:val="20"/>
                <w:szCs w:val="20"/>
              </w:rPr>
              <w:t xml:space="preserve">., </w:t>
            </w:r>
            <w:proofErr w:type="gramEnd"/>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p>
          <w:p w:rsidR="003B199A" w:rsidRPr="00795442" w:rsidRDefault="002A1BDD" w:rsidP="005D6937">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5. Артезианская скважина, назначение: нежилое, 1 –</w:t>
            </w:r>
            <w:r w:rsidR="00257D09">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5,4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5-13, лит. А, кадастровый (или условный) номер: 69:32:0130601:91:7,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Зашейково</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 xml:space="preserve">(год постройки </w:t>
            </w:r>
            <w:r w:rsidR="00257D09">
              <w:rPr>
                <w:rFonts w:ascii="Times New Roman" w:hAnsi="Times New Roman" w:cs="Times New Roman"/>
                <w:sz w:val="20"/>
                <w:szCs w:val="20"/>
              </w:rPr>
              <w:t>1985</w:t>
            </w:r>
            <w:r w:rsidR="00257D09" w:rsidRPr="00795442">
              <w:rPr>
                <w:rFonts w:ascii="Times New Roman" w:hAnsi="Times New Roman" w:cs="Times New Roman"/>
                <w:sz w:val="20"/>
                <w:szCs w:val="20"/>
              </w:rPr>
              <w:t xml:space="preserve">, фундамент </w:t>
            </w:r>
            <w:r w:rsidR="00257D09">
              <w:rPr>
                <w:rFonts w:ascii="Times New Roman" w:hAnsi="Times New Roman" w:cs="Times New Roman"/>
                <w:sz w:val="20"/>
                <w:szCs w:val="20"/>
              </w:rPr>
              <w:t>бетонный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увлажнение цоколя, осыпание фундамента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стены </w:t>
            </w:r>
            <w:r w:rsidR="00257D09">
              <w:rPr>
                <w:rFonts w:ascii="Times New Roman" w:hAnsi="Times New Roman" w:cs="Times New Roman"/>
                <w:sz w:val="20"/>
                <w:szCs w:val="20"/>
              </w:rPr>
              <w:t>кирпичные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выветривание швов, отклонение от вертикали, сколы</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 перекрытия чердачное деревянное (</w:t>
            </w:r>
            <w:r w:rsidR="00257D09">
              <w:rPr>
                <w:rFonts w:ascii="Times New Roman" w:hAnsi="Times New Roman" w:cs="Times New Roman"/>
                <w:i/>
                <w:sz w:val="20"/>
                <w:szCs w:val="20"/>
              </w:rPr>
              <w:t>расслоение древесины</w:t>
            </w:r>
            <w:r w:rsidR="00257D09">
              <w:rPr>
                <w:rFonts w:ascii="Times New Roman" w:hAnsi="Times New Roman" w:cs="Times New Roman"/>
                <w:sz w:val="20"/>
                <w:szCs w:val="20"/>
              </w:rPr>
              <w:t>), крыша</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шиферная </w:t>
            </w:r>
            <w:r w:rsidR="005D6937">
              <w:rPr>
                <w:rFonts w:ascii="Times New Roman" w:hAnsi="Times New Roman" w:cs="Times New Roman"/>
                <w:sz w:val="20"/>
                <w:szCs w:val="20"/>
              </w:rPr>
              <w:t xml:space="preserve">по деревянной обрешетке </w:t>
            </w:r>
            <w:r w:rsidR="00257D09">
              <w:rPr>
                <w:rFonts w:ascii="Times New Roman" w:hAnsi="Times New Roman" w:cs="Times New Roman"/>
                <w:sz w:val="20"/>
                <w:szCs w:val="20"/>
              </w:rPr>
              <w:t>(</w:t>
            </w:r>
            <w:r w:rsidR="00257D09" w:rsidRPr="00F05708">
              <w:rPr>
                <w:rFonts w:ascii="Times New Roman" w:hAnsi="Times New Roman" w:cs="Times New Roman"/>
                <w:i/>
                <w:sz w:val="20"/>
                <w:szCs w:val="20"/>
              </w:rPr>
              <w:t>ослабление креплений листов</w:t>
            </w:r>
            <w:r w:rsidR="00257D09">
              <w:rPr>
                <w:rFonts w:ascii="Times New Roman" w:hAnsi="Times New Roman" w:cs="Times New Roman"/>
                <w:i/>
                <w:sz w:val="20"/>
                <w:szCs w:val="20"/>
              </w:rPr>
              <w:t>, сколы, трещины</w:t>
            </w:r>
            <w:r w:rsidR="00257D09">
              <w:rPr>
                <w:rFonts w:ascii="Times New Roman" w:hAnsi="Times New Roman" w:cs="Times New Roman"/>
                <w:sz w:val="20"/>
                <w:szCs w:val="20"/>
              </w:rPr>
              <w:t xml:space="preserve">), </w:t>
            </w:r>
            <w:r w:rsidR="005D6937">
              <w:rPr>
                <w:rFonts w:ascii="Times New Roman" w:hAnsi="Times New Roman" w:cs="Times New Roman"/>
                <w:sz w:val="20"/>
                <w:szCs w:val="20"/>
              </w:rPr>
              <w:t>полы бетонные (</w:t>
            </w:r>
            <w:r w:rsidR="005D6937" w:rsidRPr="005D6937">
              <w:rPr>
                <w:rFonts w:ascii="Times New Roman" w:hAnsi="Times New Roman" w:cs="Times New Roman"/>
                <w:i/>
                <w:sz w:val="20"/>
                <w:szCs w:val="20"/>
              </w:rPr>
              <w:t>трещины, сколы</w:t>
            </w:r>
            <w:r w:rsidR="005D6937">
              <w:rPr>
                <w:rFonts w:ascii="Times New Roman" w:hAnsi="Times New Roman" w:cs="Times New Roman"/>
                <w:sz w:val="20"/>
                <w:szCs w:val="20"/>
              </w:rPr>
              <w:t xml:space="preserve">), </w:t>
            </w:r>
            <w:r w:rsidR="00257D09">
              <w:rPr>
                <w:rFonts w:ascii="Times New Roman" w:hAnsi="Times New Roman" w:cs="Times New Roman"/>
                <w:sz w:val="20"/>
                <w:szCs w:val="20"/>
              </w:rPr>
              <w:t>проемы дверные  простые, деревянные (</w:t>
            </w:r>
            <w:r w:rsidR="00257D09">
              <w:rPr>
                <w:rFonts w:ascii="Times New Roman" w:hAnsi="Times New Roman" w:cs="Times New Roman"/>
                <w:i/>
                <w:sz w:val="20"/>
                <w:szCs w:val="20"/>
              </w:rPr>
              <w:t>оседание полотен, затруднение притвора</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электроосвещение – открытая проводка</w:t>
            </w:r>
            <w:proofErr w:type="gramEnd"/>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водопровод от скважины, скважина – глубина 60,0 м.,  металлическая труба диаметром 50 мм</w:t>
            </w:r>
            <w:proofErr w:type="gramStart"/>
            <w:r w:rsidR="00257D09">
              <w:rPr>
                <w:rFonts w:ascii="Times New Roman" w:hAnsi="Times New Roman" w:cs="Times New Roman"/>
                <w:sz w:val="20"/>
                <w:szCs w:val="20"/>
              </w:rPr>
              <w:t xml:space="preserve">., </w:t>
            </w:r>
            <w:proofErr w:type="gramEnd"/>
            <w:r w:rsidR="00257D09" w:rsidRPr="00795442">
              <w:rPr>
                <w:rFonts w:ascii="Times New Roman" w:hAnsi="Times New Roman" w:cs="Times New Roman"/>
                <w:sz w:val="20"/>
                <w:szCs w:val="20"/>
              </w:rPr>
              <w:t>состояние удовлетворительное)</w:t>
            </w:r>
            <w:r w:rsidR="00257D09">
              <w:rPr>
                <w:rFonts w:ascii="Times New Roman" w:hAnsi="Times New Roman" w:cs="Times New Roman"/>
                <w:sz w:val="20"/>
                <w:szCs w:val="20"/>
              </w:rPr>
              <w:t>.</w:t>
            </w:r>
            <w:r w:rsidRPr="002A1BDD">
              <w:rPr>
                <w:rFonts w:ascii="Times New Roman" w:hAnsi="Times New Roman" w:cs="Times New Roman"/>
                <w:sz w:val="20"/>
                <w:szCs w:val="20"/>
              </w:rPr>
              <w:t xml:space="preserve"> </w:t>
            </w:r>
          </w:p>
        </w:tc>
      </w:tr>
      <w:tr w:rsidR="0009049C" w:rsidRPr="006F43BA" w:rsidTr="005D6937">
        <w:trPr>
          <w:trHeight w:val="102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0B13F6">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0B58F5" w:rsidRPr="00677DC2">
              <w:rPr>
                <w:rFonts w:ascii="Times New Roman" w:hAnsi="Times New Roman" w:cs="Times New Roman"/>
                <w:sz w:val="20"/>
                <w:szCs w:val="20"/>
              </w:rPr>
              <w:t xml:space="preserve"> 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BB2688">
              <w:rPr>
                <w:rFonts w:ascii="Times New Roman" w:hAnsi="Times New Roman" w:cs="Times New Roman"/>
                <w:b/>
                <w:sz w:val="20"/>
                <w:szCs w:val="20"/>
              </w:rPr>
              <w:t>2</w:t>
            </w:r>
            <w:r w:rsidR="0088204B">
              <w:rPr>
                <w:rFonts w:ascii="Times New Roman" w:hAnsi="Times New Roman" w:cs="Times New Roman"/>
                <w:b/>
                <w:sz w:val="20"/>
                <w:szCs w:val="20"/>
              </w:rPr>
              <w:t>3</w:t>
            </w:r>
            <w:r w:rsidRPr="00677DC2">
              <w:rPr>
                <w:rFonts w:ascii="Times New Roman" w:hAnsi="Times New Roman" w:cs="Times New Roman"/>
                <w:b/>
                <w:sz w:val="20"/>
                <w:szCs w:val="20"/>
              </w:rPr>
              <w:t>.</w:t>
            </w:r>
            <w:r w:rsidR="0088204B">
              <w:rPr>
                <w:rFonts w:ascii="Times New Roman" w:hAnsi="Times New Roman" w:cs="Times New Roman"/>
                <w:b/>
                <w:sz w:val="20"/>
                <w:szCs w:val="20"/>
              </w:rPr>
              <w:t>12</w:t>
            </w:r>
            <w:r w:rsidRPr="00677DC2">
              <w:rPr>
                <w:rFonts w:ascii="Times New Roman" w:hAnsi="Times New Roman" w:cs="Times New Roman"/>
                <w:b/>
                <w:sz w:val="20"/>
                <w:szCs w:val="20"/>
              </w:rPr>
              <w:t>.201</w:t>
            </w:r>
            <w:r w:rsidR="00D7539F">
              <w:rPr>
                <w:rFonts w:ascii="Times New Roman" w:hAnsi="Times New Roman" w:cs="Times New Roman"/>
                <w:b/>
                <w:sz w:val="20"/>
                <w:szCs w:val="20"/>
              </w:rPr>
              <w:t>6</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88204B">
              <w:rPr>
                <w:rFonts w:ascii="Times New Roman" w:hAnsi="Times New Roman" w:cs="Times New Roman"/>
                <w:b/>
                <w:sz w:val="20"/>
                <w:szCs w:val="20"/>
              </w:rPr>
              <w:t>10</w:t>
            </w:r>
            <w:r w:rsidRPr="00677DC2">
              <w:rPr>
                <w:rFonts w:ascii="Times New Roman" w:hAnsi="Times New Roman" w:cs="Times New Roman"/>
                <w:b/>
                <w:sz w:val="20"/>
                <w:szCs w:val="20"/>
              </w:rPr>
              <w:t>.</w:t>
            </w:r>
            <w:r w:rsidR="00D7539F">
              <w:rPr>
                <w:rFonts w:ascii="Times New Roman" w:hAnsi="Times New Roman" w:cs="Times New Roman"/>
                <w:b/>
                <w:sz w:val="20"/>
                <w:szCs w:val="20"/>
              </w:rPr>
              <w:t>0</w:t>
            </w:r>
            <w:r w:rsidR="0088204B">
              <w:rPr>
                <w:rFonts w:ascii="Times New Roman" w:hAnsi="Times New Roman" w:cs="Times New Roman"/>
                <w:b/>
                <w:sz w:val="20"/>
                <w:szCs w:val="20"/>
              </w:rPr>
              <w:t>2</w:t>
            </w:r>
            <w:r w:rsidRPr="00677DC2">
              <w:rPr>
                <w:rFonts w:ascii="Times New Roman" w:hAnsi="Times New Roman" w:cs="Times New Roman"/>
                <w:b/>
                <w:sz w:val="20"/>
                <w:szCs w:val="20"/>
              </w:rPr>
              <w:t>.201</w:t>
            </w:r>
            <w:r w:rsidR="0088204B">
              <w:rPr>
                <w:rFonts w:ascii="Times New Roman" w:hAnsi="Times New Roman" w:cs="Times New Roman"/>
                <w:b/>
                <w:sz w:val="20"/>
                <w:szCs w:val="20"/>
              </w:rPr>
              <w:t>7</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w:t>
            </w:r>
            <w:r w:rsidRPr="00677DC2">
              <w:rPr>
                <w:rFonts w:ascii="Times New Roman" w:hAnsi="Times New Roman" w:cs="Times New Roman"/>
                <w:sz w:val="20"/>
                <w:szCs w:val="20"/>
              </w:rPr>
              <w:lastRenderedPageBreak/>
              <w:t>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4B0A" w:rsidRPr="0079741F" w:rsidRDefault="00434B0A" w:rsidP="00434B0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3"/>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документацией можно по адресу: 171360, Тверская область, город Старица, ул. Советская, д. 6, каб</w:t>
            </w:r>
            <w:r w:rsidR="00BB2688">
              <w:rPr>
                <w:sz w:val="20"/>
                <w:szCs w:val="20"/>
              </w:rPr>
              <w:t>инет</w:t>
            </w:r>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434B0A" w:rsidRPr="00434B0A">
              <w:rPr>
                <w:rFonts w:ascii="Times New Roman" w:hAnsi="Times New Roman" w:cs="Times New Roman"/>
              </w:rPr>
              <w:t>7 858 (Семь тысяч восемьсот пятьдесят восемь) рублей 80 копеек,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 xml:space="preserve">с 9:00 час. </w:t>
            </w:r>
            <w:r w:rsidR="0088204B">
              <w:rPr>
                <w:rFonts w:ascii="Times New Roman" w:hAnsi="Times New Roman" w:cs="Times New Roman"/>
                <w:b/>
                <w:sz w:val="20"/>
                <w:szCs w:val="20"/>
              </w:rPr>
              <w:t>20</w:t>
            </w:r>
            <w:r w:rsidR="00113D11">
              <w:rPr>
                <w:rFonts w:ascii="Times New Roman" w:hAnsi="Times New Roman" w:cs="Times New Roman"/>
                <w:b/>
                <w:sz w:val="20"/>
                <w:szCs w:val="20"/>
              </w:rPr>
              <w:t xml:space="preserve"> </w:t>
            </w:r>
            <w:r w:rsidR="0088204B">
              <w:rPr>
                <w:rFonts w:ascii="Times New Roman" w:hAnsi="Times New Roman" w:cs="Times New Roman"/>
                <w:b/>
                <w:sz w:val="20"/>
                <w:szCs w:val="20"/>
              </w:rPr>
              <w:t>февраля</w:t>
            </w:r>
            <w:r w:rsidR="0005098D" w:rsidRPr="0005098D">
              <w:rPr>
                <w:rFonts w:ascii="Times New Roman" w:hAnsi="Times New Roman" w:cs="Times New Roman"/>
                <w:b/>
                <w:sz w:val="20"/>
                <w:szCs w:val="20"/>
              </w:rPr>
              <w:t xml:space="preserve"> 201</w:t>
            </w:r>
            <w:r w:rsidR="0088204B">
              <w:rPr>
                <w:rFonts w:ascii="Times New Roman" w:hAnsi="Times New Roman" w:cs="Times New Roman"/>
                <w:b/>
                <w:sz w:val="20"/>
                <w:szCs w:val="20"/>
              </w:rPr>
              <w:t>7</w:t>
            </w:r>
            <w:r w:rsidR="0005098D" w:rsidRPr="0005098D">
              <w:rPr>
                <w:rFonts w:ascii="Times New Roman" w:hAnsi="Times New Roman" w:cs="Times New Roman"/>
                <w:b/>
                <w:sz w:val="20"/>
                <w:szCs w:val="20"/>
              </w:rPr>
              <w:t xml:space="preserve"> года до 15:00 час. </w:t>
            </w:r>
            <w:r w:rsidR="0088204B">
              <w:rPr>
                <w:rFonts w:ascii="Times New Roman" w:hAnsi="Times New Roman" w:cs="Times New Roman"/>
                <w:b/>
                <w:sz w:val="20"/>
                <w:szCs w:val="20"/>
              </w:rPr>
              <w:t>23</w:t>
            </w:r>
            <w:r w:rsidR="0005098D" w:rsidRPr="0005098D">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05098D" w:rsidRPr="0005098D">
              <w:rPr>
                <w:rFonts w:ascii="Times New Roman" w:hAnsi="Times New Roman" w:cs="Times New Roman"/>
                <w:b/>
                <w:sz w:val="20"/>
                <w:szCs w:val="20"/>
              </w:rPr>
              <w:t xml:space="preserve"> 201</w:t>
            </w:r>
            <w:r w:rsidR="0088204B">
              <w:rPr>
                <w:rFonts w:ascii="Times New Roman" w:hAnsi="Times New Roman" w:cs="Times New Roman"/>
                <w:b/>
                <w:sz w:val="20"/>
                <w:szCs w:val="20"/>
              </w:rPr>
              <w:t>7</w:t>
            </w:r>
            <w:r w:rsidR="0005098D" w:rsidRPr="0005098D">
              <w:rPr>
                <w:rFonts w:ascii="Times New Roman" w:hAnsi="Times New Roman" w:cs="Times New Roman"/>
                <w:b/>
                <w:sz w:val="20"/>
                <w:szCs w:val="20"/>
              </w:rPr>
              <w:t xml:space="preserve"> 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w:t>
            </w:r>
            <w:r w:rsidRPr="004F7E0A">
              <w:rPr>
                <w:rFonts w:ascii="Times New Roman" w:hAnsi="Times New Roman" w:cs="Times New Roman"/>
                <w:color w:val="000000"/>
                <w:sz w:val="20"/>
                <w:szCs w:val="20"/>
              </w:rPr>
              <w:lastRenderedPageBreak/>
              <w:t xml:space="preserve">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88204B">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A97610">
              <w:rPr>
                <w:rFonts w:ascii="Times New Roman" w:hAnsi="Times New Roman" w:cs="Times New Roman"/>
                <w:b/>
                <w:sz w:val="20"/>
                <w:szCs w:val="20"/>
              </w:rPr>
              <w:t xml:space="preserve">в 15:00 час. </w:t>
            </w:r>
            <w:r w:rsidR="0088204B">
              <w:rPr>
                <w:rFonts w:ascii="Times New Roman" w:hAnsi="Times New Roman" w:cs="Times New Roman"/>
                <w:b/>
                <w:sz w:val="20"/>
                <w:szCs w:val="20"/>
              </w:rPr>
              <w:t>10</w:t>
            </w:r>
            <w:r w:rsidRPr="00A97610">
              <w:rPr>
                <w:rFonts w:ascii="Times New Roman" w:hAnsi="Times New Roman" w:cs="Times New Roman"/>
                <w:b/>
                <w:sz w:val="20"/>
                <w:szCs w:val="20"/>
              </w:rPr>
              <w:t>.</w:t>
            </w:r>
            <w:r w:rsidR="00597635" w:rsidRPr="00A97610">
              <w:rPr>
                <w:rFonts w:ascii="Times New Roman" w:hAnsi="Times New Roman" w:cs="Times New Roman"/>
                <w:b/>
                <w:sz w:val="20"/>
                <w:szCs w:val="20"/>
              </w:rPr>
              <w:t>0</w:t>
            </w:r>
            <w:r w:rsidR="0088204B">
              <w:rPr>
                <w:rFonts w:ascii="Times New Roman" w:hAnsi="Times New Roman" w:cs="Times New Roman"/>
                <w:b/>
                <w:sz w:val="20"/>
                <w:szCs w:val="20"/>
              </w:rPr>
              <w:t>2</w:t>
            </w:r>
            <w:r w:rsidR="00597635" w:rsidRPr="00A97610">
              <w:rPr>
                <w:rFonts w:ascii="Times New Roman" w:hAnsi="Times New Roman" w:cs="Times New Roman"/>
                <w:b/>
                <w:sz w:val="20"/>
                <w:szCs w:val="20"/>
              </w:rPr>
              <w:t>.</w:t>
            </w:r>
            <w:r w:rsidRPr="00A97610">
              <w:rPr>
                <w:rFonts w:ascii="Times New Roman" w:hAnsi="Times New Roman" w:cs="Times New Roman"/>
                <w:b/>
                <w:sz w:val="20"/>
                <w:szCs w:val="20"/>
              </w:rPr>
              <w:t>201</w:t>
            </w:r>
            <w:r w:rsidR="0088204B">
              <w:rPr>
                <w:rFonts w:ascii="Times New Roman" w:hAnsi="Times New Roman" w:cs="Times New Roman"/>
                <w:b/>
                <w:sz w:val="20"/>
                <w:szCs w:val="20"/>
              </w:rPr>
              <w:t>7</w:t>
            </w:r>
            <w:r w:rsidRPr="00A97610">
              <w:rPr>
                <w:rFonts w:ascii="Times New Roman" w:hAnsi="Times New Roman" w:cs="Times New Roman"/>
                <w:b/>
                <w:sz w:val="20"/>
                <w:szCs w:val="20"/>
              </w:rPr>
              <w:t>г.</w:t>
            </w:r>
            <w:r w:rsidRPr="00B0181F">
              <w:rPr>
                <w:rFonts w:ascii="Times New Roman" w:hAnsi="Times New Roman" w:cs="Times New Roman"/>
                <w:sz w:val="20"/>
                <w:szCs w:val="20"/>
              </w:rPr>
              <w:t xml:space="preserve">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 xml:space="preserve">15:00 час. </w:t>
            </w:r>
            <w:r w:rsidR="0088204B">
              <w:rPr>
                <w:rFonts w:ascii="Times New Roman" w:hAnsi="Times New Roman" w:cs="Times New Roman"/>
                <w:b/>
                <w:sz w:val="20"/>
                <w:szCs w:val="20"/>
              </w:rPr>
              <w:t>23</w:t>
            </w:r>
            <w:r w:rsidR="00113D11">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A97610" w:rsidRPr="0005098D">
              <w:rPr>
                <w:rFonts w:ascii="Times New Roman" w:hAnsi="Times New Roman" w:cs="Times New Roman"/>
                <w:b/>
                <w:sz w:val="20"/>
                <w:szCs w:val="20"/>
              </w:rPr>
              <w:t xml:space="preserve"> 201</w:t>
            </w:r>
            <w:r w:rsidR="0088204B">
              <w:rPr>
                <w:rFonts w:ascii="Times New Roman" w:hAnsi="Times New Roman" w:cs="Times New Roman"/>
                <w:b/>
                <w:sz w:val="20"/>
                <w:szCs w:val="20"/>
              </w:rPr>
              <w:t>7</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w:t>
            </w:r>
            <w:r w:rsidR="00A97610">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:00 час. </w:t>
            </w:r>
            <w:r w:rsidR="0088204B">
              <w:rPr>
                <w:rFonts w:ascii="Times New Roman" w:hAnsi="Times New Roman" w:cs="Times New Roman"/>
                <w:b/>
                <w:sz w:val="20"/>
                <w:szCs w:val="20"/>
              </w:rPr>
              <w:t>24</w:t>
            </w:r>
            <w:r w:rsidR="00530DF1" w:rsidRPr="00530DF1">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530DF1" w:rsidRPr="00530DF1">
              <w:rPr>
                <w:rFonts w:ascii="Times New Roman" w:hAnsi="Times New Roman" w:cs="Times New Roman"/>
                <w:b/>
                <w:sz w:val="20"/>
                <w:szCs w:val="20"/>
              </w:rPr>
              <w:t xml:space="preserve"> 201</w:t>
            </w:r>
            <w:r w:rsidR="0088204B">
              <w:rPr>
                <w:rFonts w:ascii="Times New Roman" w:hAnsi="Times New Roman" w:cs="Times New Roman"/>
                <w:b/>
                <w:sz w:val="20"/>
                <w:szCs w:val="20"/>
              </w:rPr>
              <w:t>7</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88204B" w:rsidP="00E06019">
      <w:pPr>
        <w:pStyle w:val="a7"/>
        <w:ind w:left="0" w:firstLine="0"/>
        <w:rPr>
          <w:sz w:val="22"/>
          <w:szCs w:val="22"/>
        </w:rPr>
      </w:pPr>
      <w:r>
        <w:rPr>
          <w:sz w:val="22"/>
          <w:szCs w:val="22"/>
        </w:rPr>
        <w:t>П</w:t>
      </w:r>
      <w:r w:rsidR="00E06019" w:rsidRPr="006F43BA">
        <w:rPr>
          <w:sz w:val="22"/>
          <w:szCs w:val="22"/>
        </w:rPr>
        <w:t>редседател</w:t>
      </w:r>
      <w:r>
        <w:rPr>
          <w:sz w:val="22"/>
          <w:szCs w:val="22"/>
        </w:rPr>
        <w:t xml:space="preserve">ь </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0088204B">
        <w:rPr>
          <w:sz w:val="22"/>
          <w:szCs w:val="22"/>
        </w:rPr>
        <w:t>В</w:t>
      </w:r>
      <w:r w:rsidRPr="006F43BA">
        <w:rPr>
          <w:sz w:val="22"/>
          <w:szCs w:val="22"/>
        </w:rPr>
        <w:t>.</w:t>
      </w:r>
      <w:r w:rsidR="0088204B">
        <w:rPr>
          <w:sz w:val="22"/>
          <w:szCs w:val="22"/>
        </w:rPr>
        <w:t>Н</w:t>
      </w:r>
      <w:r w:rsidRPr="006F43BA">
        <w:rPr>
          <w:sz w:val="22"/>
          <w:szCs w:val="22"/>
        </w:rPr>
        <w:t>.</w:t>
      </w:r>
      <w:r w:rsidR="00B91BED">
        <w:rPr>
          <w:sz w:val="22"/>
          <w:szCs w:val="22"/>
        </w:rPr>
        <w:t xml:space="preserve"> </w:t>
      </w:r>
      <w:r w:rsidR="0088204B">
        <w:rPr>
          <w:sz w:val="22"/>
          <w:szCs w:val="22"/>
        </w:rPr>
        <w:t>Голикова</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5098D"/>
    <w:rsid w:val="000728AD"/>
    <w:rsid w:val="0009049C"/>
    <w:rsid w:val="00095F08"/>
    <w:rsid w:val="000A4F56"/>
    <w:rsid w:val="000B13F6"/>
    <w:rsid w:val="000B2CEF"/>
    <w:rsid w:val="000B58F5"/>
    <w:rsid w:val="000B6CEE"/>
    <w:rsid w:val="000C72F6"/>
    <w:rsid w:val="000D0999"/>
    <w:rsid w:val="000E2CAC"/>
    <w:rsid w:val="000E7AA0"/>
    <w:rsid w:val="000F7E9F"/>
    <w:rsid w:val="00100A0D"/>
    <w:rsid w:val="001011E2"/>
    <w:rsid w:val="00110B54"/>
    <w:rsid w:val="00113361"/>
    <w:rsid w:val="00113D11"/>
    <w:rsid w:val="00123D3B"/>
    <w:rsid w:val="001259F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1613"/>
    <w:rsid w:val="00244B02"/>
    <w:rsid w:val="00257D09"/>
    <w:rsid w:val="0026274C"/>
    <w:rsid w:val="00281018"/>
    <w:rsid w:val="002A1BDD"/>
    <w:rsid w:val="002B24AF"/>
    <w:rsid w:val="002E54E5"/>
    <w:rsid w:val="002E6DAD"/>
    <w:rsid w:val="002E7381"/>
    <w:rsid w:val="002F1462"/>
    <w:rsid w:val="00302A3C"/>
    <w:rsid w:val="00302EDD"/>
    <w:rsid w:val="0031244F"/>
    <w:rsid w:val="00314FD1"/>
    <w:rsid w:val="00347C4E"/>
    <w:rsid w:val="0035672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97635"/>
    <w:rsid w:val="005A3DB6"/>
    <w:rsid w:val="005C54C6"/>
    <w:rsid w:val="005C571E"/>
    <w:rsid w:val="005D6937"/>
    <w:rsid w:val="005E7067"/>
    <w:rsid w:val="005F0439"/>
    <w:rsid w:val="006153A6"/>
    <w:rsid w:val="00622F48"/>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73D7F"/>
    <w:rsid w:val="0078427D"/>
    <w:rsid w:val="00791F13"/>
    <w:rsid w:val="00793EB6"/>
    <w:rsid w:val="00795442"/>
    <w:rsid w:val="0079741F"/>
    <w:rsid w:val="007A0779"/>
    <w:rsid w:val="007C4005"/>
    <w:rsid w:val="007E381C"/>
    <w:rsid w:val="00803DC4"/>
    <w:rsid w:val="00820877"/>
    <w:rsid w:val="00821618"/>
    <w:rsid w:val="00823032"/>
    <w:rsid w:val="00823B17"/>
    <w:rsid w:val="00834151"/>
    <w:rsid w:val="008412AB"/>
    <w:rsid w:val="0085239F"/>
    <w:rsid w:val="00852B00"/>
    <w:rsid w:val="008543BB"/>
    <w:rsid w:val="008550F4"/>
    <w:rsid w:val="00857F69"/>
    <w:rsid w:val="00857FC3"/>
    <w:rsid w:val="00861276"/>
    <w:rsid w:val="0087219C"/>
    <w:rsid w:val="0088204B"/>
    <w:rsid w:val="00883864"/>
    <w:rsid w:val="008954E0"/>
    <w:rsid w:val="008A6EA3"/>
    <w:rsid w:val="008C3F87"/>
    <w:rsid w:val="008F101E"/>
    <w:rsid w:val="00905F38"/>
    <w:rsid w:val="00913714"/>
    <w:rsid w:val="00922CE9"/>
    <w:rsid w:val="00934307"/>
    <w:rsid w:val="00952850"/>
    <w:rsid w:val="00964168"/>
    <w:rsid w:val="0097041A"/>
    <w:rsid w:val="00973B7F"/>
    <w:rsid w:val="0098605F"/>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97610"/>
    <w:rsid w:val="00AA380C"/>
    <w:rsid w:val="00AE28CC"/>
    <w:rsid w:val="00B00D9B"/>
    <w:rsid w:val="00B00F00"/>
    <w:rsid w:val="00B01F37"/>
    <w:rsid w:val="00B0285C"/>
    <w:rsid w:val="00B12F36"/>
    <w:rsid w:val="00B30218"/>
    <w:rsid w:val="00B454CD"/>
    <w:rsid w:val="00B50C66"/>
    <w:rsid w:val="00B60AB1"/>
    <w:rsid w:val="00B62A35"/>
    <w:rsid w:val="00B62CE2"/>
    <w:rsid w:val="00B6499D"/>
    <w:rsid w:val="00B8006B"/>
    <w:rsid w:val="00B84126"/>
    <w:rsid w:val="00B8726D"/>
    <w:rsid w:val="00B913AF"/>
    <w:rsid w:val="00B91BED"/>
    <w:rsid w:val="00B963D7"/>
    <w:rsid w:val="00BA5238"/>
    <w:rsid w:val="00BA5AAB"/>
    <w:rsid w:val="00BB2688"/>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539F"/>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5715A"/>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318BF"/>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7</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43</cp:revision>
  <cp:lastPrinted>2016-02-01T08:46:00Z</cp:lastPrinted>
  <dcterms:created xsi:type="dcterms:W3CDTF">2014-08-27T07:01:00Z</dcterms:created>
  <dcterms:modified xsi:type="dcterms:W3CDTF">2016-12-21T13:05:00Z</dcterms:modified>
</cp:coreProperties>
</file>