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D6" w:rsidRDefault="00EB31D6">
      <w:r>
        <w:rPr>
          <w:noProof/>
          <w:lang w:eastAsia="ru-RU"/>
        </w:rPr>
        <w:drawing>
          <wp:inline distT="0" distB="0" distL="0" distR="0" wp14:anchorId="04EDAF52" wp14:editId="2D6BA027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D6" w:rsidRPr="00EB31D6" w:rsidRDefault="00EB31D6" w:rsidP="00EB31D6">
      <w:pPr>
        <w:shd w:val="clear" w:color="auto" w:fill="FFFFFF"/>
        <w:spacing w:after="300" w:line="336" w:lineRule="atLeast"/>
        <w:jc w:val="center"/>
        <w:rPr>
          <w:rFonts w:ascii="Tahoma" w:eastAsia="Times New Roman" w:hAnsi="Tahoma" w:cs="Tahoma"/>
          <w:color w:val="365F91" w:themeColor="accent1" w:themeShade="BF"/>
          <w:spacing w:val="-15"/>
          <w:kern w:val="36"/>
          <w:sz w:val="36"/>
          <w:szCs w:val="36"/>
          <w:lang w:eastAsia="ru-RU"/>
        </w:rPr>
      </w:pPr>
      <w:bookmarkStart w:id="0" w:name="_GoBack"/>
      <w:bookmarkEnd w:id="0"/>
      <w:r w:rsidRPr="00EB31D6">
        <w:rPr>
          <w:rFonts w:ascii="Tahoma" w:eastAsia="Times New Roman" w:hAnsi="Tahoma" w:cs="Tahoma"/>
          <w:color w:val="365F91" w:themeColor="accent1" w:themeShade="BF"/>
          <w:spacing w:val="-15"/>
          <w:kern w:val="36"/>
          <w:sz w:val="36"/>
          <w:szCs w:val="36"/>
          <w:lang w:eastAsia="ru-RU"/>
        </w:rPr>
        <w:t>Какие хозяйственные постройки облагаются налогом на имущество физических лиц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2516">
        <w:rPr>
          <w:rFonts w:ascii="Tahoma" w:eastAsia="Times New Roman" w:hAnsi="Tahoma" w:cs="Tahoma"/>
          <w:sz w:val="24"/>
          <w:szCs w:val="24"/>
          <w:lang w:eastAsia="ru-RU"/>
        </w:rPr>
        <w:t>Налогооблагаемыми объектами </w:t>
      </w:r>
      <w:hyperlink r:id="rId6" w:history="1">
        <w:r w:rsidRPr="009E2516">
          <w:rPr>
            <w:rFonts w:ascii="Tahoma" w:eastAsia="Times New Roman" w:hAnsi="Tahoma" w:cs="Tahoma"/>
            <w:sz w:val="24"/>
            <w:szCs w:val="24"/>
            <w:lang w:eastAsia="ru-RU"/>
          </w:rPr>
          <w:t>являются</w:t>
        </w:r>
      </w:hyperlink>
      <w:r w:rsidRPr="009E2516">
        <w:rPr>
          <w:rFonts w:ascii="Tahoma" w:eastAsia="Times New Roman" w:hAnsi="Tahoma" w:cs="Tahoma"/>
          <w:sz w:val="24"/>
          <w:szCs w:val="24"/>
          <w:lang w:eastAsia="ru-RU"/>
        </w:rPr>
        <w:t> находящиеся в собственности у граждан хозяйственные постройки, сведения о которых содержатся в Едином государственном реестре недвижимости (ЕГРН). В их число входят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Исключение - жилые помещения и гаражи, которые являются самостоятельными объектами налогообложения.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Владелец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хозпостройки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сам определяет необходимость обращения в органы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Росреестра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за регистрацией прав на нее в ЕГРН. Для этого она должна отвечать </w:t>
      </w:r>
      <w:hyperlink r:id="rId7" w:history="1">
        <w:r w:rsidRPr="009E2516">
          <w:rPr>
            <w:rFonts w:ascii="Tahoma" w:eastAsia="Times New Roman" w:hAnsi="Tahoma" w:cs="Tahoma"/>
            <w:sz w:val="24"/>
            <w:szCs w:val="24"/>
            <w:lang w:eastAsia="ru-RU"/>
          </w:rPr>
          <w:t>признакам недвижимости</w:t>
        </w:r>
      </w:hyperlink>
      <w:r w:rsidRPr="009E2516">
        <w:rPr>
          <w:rFonts w:ascii="Tahoma" w:eastAsia="Times New Roman" w:hAnsi="Tahoma" w:cs="Tahoma"/>
          <w:sz w:val="24"/>
          <w:szCs w:val="24"/>
          <w:lang w:eastAsia="ru-RU"/>
        </w:rPr>
        <w:t>: быть прочно связана с землей, а её перемещение без несоразмерного ущерба её назначению невозможно.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Обязанность по уплате налога на имущество физлиц возникает с момента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госрегистрации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права собственности гражданина на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хозпостройку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или со дня открытия наследства, в которое она включена. Исключение – освобождение от уплаты налога на основе льготы, установленной федеральным или муниципальным законодательством. Так, от налогообложения </w:t>
      </w:r>
      <w:hyperlink r:id="rId8" w:history="1">
        <w:r w:rsidRPr="009E2516">
          <w:rPr>
            <w:rFonts w:ascii="Tahoma" w:eastAsia="Times New Roman" w:hAnsi="Tahoma" w:cs="Tahoma"/>
            <w:sz w:val="24"/>
            <w:szCs w:val="24"/>
            <w:lang w:eastAsia="ru-RU"/>
          </w:rPr>
          <w:t>освобождаются</w:t>
        </w:r>
      </w:hyperlink>
      <w:r w:rsidRPr="009E2516">
        <w:rPr>
          <w:rFonts w:ascii="Tahoma" w:eastAsia="Times New Roman" w:hAnsi="Tahoma" w:cs="Tahoma"/>
          <w:sz w:val="24"/>
          <w:szCs w:val="24"/>
          <w:lang w:eastAsia="ru-RU"/>
        </w:rPr>
        <w:t> 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хозпостройки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площадью не более 50 кв. м, расположенные на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Такая льгота применяется только для одной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хозпостройки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, не используемой в предпринимательской деятельности, независимо от ее расположения в пределах страны.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Не </w:t>
      </w:r>
      <w:proofErr w:type="gram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являющиеся</w:t>
      </w:r>
      <w:proofErr w:type="gram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недвижимостью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хозпостройки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 xml:space="preserve"> не регистрируются в ЕГРН и не облагаются налогом на имущество физлиц. К таковым относятся не имеющие капитального фундамента теплицы, </w:t>
      </w:r>
      <w:proofErr w:type="spellStart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хозблоки</w:t>
      </w:r>
      <w:proofErr w:type="spellEnd"/>
      <w:r w:rsidRPr="009E2516">
        <w:rPr>
          <w:rFonts w:ascii="Tahoma" w:eastAsia="Times New Roman" w:hAnsi="Tahoma" w:cs="Tahoma"/>
          <w:sz w:val="24"/>
          <w:szCs w:val="24"/>
          <w:lang w:eastAsia="ru-RU"/>
        </w:rPr>
        <w:t>, бытовки, навесы, некапитальные временные строения и т. п.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E2516">
        <w:rPr>
          <w:rFonts w:ascii="Tahoma" w:eastAsia="Times New Roman" w:hAnsi="Tahoma" w:cs="Tahoma"/>
          <w:sz w:val="24"/>
          <w:szCs w:val="24"/>
          <w:lang w:eastAsia="ru-RU"/>
        </w:rPr>
        <w:t>Представительные органы муниципальных образований вправе вводить дополнительные налоговые льготы по налогу на имущество физлиц, ознакомиться с перечнем которых можно с помощью сервиса «</w:t>
      </w:r>
      <w:hyperlink r:id="rId9" w:history="1">
        <w:r w:rsidRPr="009E2516">
          <w:rPr>
            <w:rFonts w:ascii="Tahoma" w:eastAsia="Times New Roman" w:hAnsi="Tahoma" w:cs="Tahoma"/>
            <w:sz w:val="24"/>
            <w:szCs w:val="24"/>
            <w:lang w:eastAsia="ru-RU"/>
          </w:rPr>
          <w:t>Справочная информация о ставках и льготах по имущественным налогам</w:t>
        </w:r>
      </w:hyperlink>
      <w:r w:rsidRPr="009E2516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EB31D6" w:rsidRPr="009E2516" w:rsidRDefault="00EB31D6" w:rsidP="00EB31D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ahoma" w:eastAsia="Times New Roman" w:hAnsi="Tahoma" w:cs="Tahoma"/>
          <w:spacing w:val="-15"/>
          <w:kern w:val="36"/>
          <w:sz w:val="24"/>
          <w:szCs w:val="24"/>
          <w:lang w:eastAsia="ru-RU"/>
        </w:rPr>
      </w:pPr>
    </w:p>
    <w:p w:rsidR="00EB31D6" w:rsidRPr="009E2516" w:rsidRDefault="00EB31D6" w:rsidP="00EB31D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B31D6" w:rsidRPr="00577211" w:rsidRDefault="00EB31D6" w:rsidP="00EB31D6">
      <w:pPr>
        <w:shd w:val="clear" w:color="auto" w:fill="FFFFFF"/>
        <w:spacing w:after="300" w:line="336" w:lineRule="atLeast"/>
        <w:jc w:val="center"/>
        <w:rPr>
          <w:rFonts w:ascii="Arial" w:eastAsia="Times New Roman" w:hAnsi="Arial" w:cs="Arial"/>
          <w:color w:val="365F91" w:themeColor="accent1" w:themeShade="BF"/>
          <w:spacing w:val="-15"/>
          <w:kern w:val="36"/>
          <w:sz w:val="60"/>
          <w:szCs w:val="60"/>
          <w:lang w:eastAsia="ru-RU"/>
        </w:rPr>
      </w:pPr>
    </w:p>
    <w:p w:rsidR="004C5D0A" w:rsidRPr="00EB31D6" w:rsidRDefault="004C5D0A" w:rsidP="00EB31D6">
      <w:pPr>
        <w:tabs>
          <w:tab w:val="left" w:pos="2110"/>
        </w:tabs>
      </w:pPr>
    </w:p>
    <w:sectPr w:rsidR="004C5D0A" w:rsidRPr="00EB31D6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6"/>
    <w:rsid w:val="004C5D0A"/>
    <w:rsid w:val="00875506"/>
    <w:rsid w:val="00CC5155"/>
    <w:rsid w:val="00E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2573b723f294419039974f75da8e928dfbe027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2a54eb7c0c87a49c41aa10efb253f6bdea2bfc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7069/2e92291c4fa6a4767c79dd5ea44ab607d5cfa32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2019-02-21T09:09:00Z</dcterms:created>
  <dcterms:modified xsi:type="dcterms:W3CDTF">2019-02-21T09:11:00Z</dcterms:modified>
</cp:coreProperties>
</file>